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pPr>
      <w:r>
        <w:rPr>
          <w:rFonts w:ascii="Arial" w:cs="Arial" w:eastAsia="Arial" w:hAnsi="Arial"/>
          <w:b/>
          <w:bCs/>
          <w:color w:val="35BEF0"/>
          <w:spacing w:val="80"/>
          <w:sz w:val="22"/>
          <w:szCs w:val="22"/>
        </w:rPr>
        <w:t xml:space="preserve">MMXX DYNAMICS</w:t>
      </w:r>
    </w:p>
    <w:p>
      <w:pPr>
        <w:spacing w:after="120"/>
      </w:pPr>
      <w:r>
        <w:rPr>
          <w:rFonts w:ascii="Arial" w:cs="Arial" w:eastAsia="Arial" w:hAnsi="Arial"/>
          <w:color w:val="6B7280"/>
          <w:spacing w:val="60"/>
          <w:sz w:val="18"/>
          <w:szCs w:val="18"/>
        </w:rPr>
        <w:t xml:space="preserve">WHITE PAPER · MAY 2026</w:t>
      </w:r>
    </w:p>
    <w:p>
      <w:pPr>
        <w:spacing w:after="240" w:before="600"/>
      </w:pPr>
      <w:r>
        <w:rPr>
          <w:rFonts w:ascii="Arial" w:cs="Arial" w:eastAsia="Arial" w:hAnsi="Arial"/>
          <w:b/>
          <w:bCs/>
          <w:color w:val="2D4A9A"/>
          <w:sz w:val="56"/>
          <w:szCs w:val="56"/>
        </w:rPr>
        <w:t xml:space="preserve">Web3 Data Infrastructure</w:t>
      </w:r>
    </w:p>
    <w:p>
      <w:pPr>
        <w:spacing w:after="480"/>
      </w:pPr>
      <w:r>
        <w:rPr>
          <w:rFonts w:ascii="Arial" w:cs="Arial" w:eastAsia="Arial" w:hAnsi="Arial"/>
          <w:color w:val="1F2937"/>
          <w:sz w:val="32"/>
          <w:szCs w:val="32"/>
        </w:rPr>
        <w:t xml:space="preserve">A Reference Architecture for Multi-Chain Enterprise Operations</w:t>
      </w:r>
    </w:p>
    <w:p>
      <w:pPr>
        <w:pBdr>
          <w:top w:val="single" w:color="35BEF0" w:sz="6" w:space="8"/>
        </w:pBdr>
        <w:spacing w:after="120" w:before="240"/>
      </w:pPr>
      <w:r>
        <w:t xml:space="preserve"/>
      </w:r>
    </w:p>
    <w:p>
      <w:pPr>
        <w:spacing w:after="100" w:before="240"/>
      </w:pPr>
      <w:r>
        <w:rPr>
          <w:rFonts w:ascii="Arial" w:cs="Arial" w:eastAsia="Arial" w:hAnsi="Arial"/>
          <w:b/>
          <w:bCs/>
          <w:color w:val="6B7280"/>
          <w:spacing w:val="40"/>
          <w:sz w:val="18"/>
          <w:szCs w:val="18"/>
        </w:rPr>
        <w:t xml:space="preserve">Authors</w:t>
      </w:r>
    </w:p>
    <w:p>
      <w:pPr>
        <w:spacing w:after="80"/>
      </w:pPr>
      <w:r>
        <w:rPr>
          <w:rFonts w:ascii="Arial" w:cs="Arial" w:eastAsia="Arial" w:hAnsi="Arial"/>
          <w:color w:val="1F2937"/>
          <w:sz w:val="22"/>
          <w:szCs w:val="22"/>
        </w:rPr>
        <w:t xml:space="preserve">Michael Zhang, Blockchain Architect</w:t>
      </w:r>
    </w:p>
    <w:p>
      <w:pPr>
        <w:spacing w:after="80"/>
      </w:pPr>
      <w:r>
        <w:rPr>
          <w:rFonts w:ascii="Arial" w:cs="Arial" w:eastAsia="Arial" w:hAnsi="Arial"/>
          <w:color w:val="1F2937"/>
          <w:sz w:val="22"/>
          <w:szCs w:val="22"/>
        </w:rPr>
        <w:t xml:space="preserve">James Mitchell, Head of Blockchain Strategy</w:t>
      </w:r>
    </w:p>
    <w:p>
      <w:pPr>
        <w:spacing w:after="80"/>
      </w:pPr>
      <w:r>
        <w:rPr>
          <w:rFonts w:ascii="Arial" w:cs="Arial" w:eastAsia="Arial" w:hAnsi="Arial"/>
          <w:color w:val="1F2937"/>
          <w:sz w:val="22"/>
          <w:szCs w:val="22"/>
        </w:rPr>
        <w:t xml:space="preserve">Dr Sarah Chen, Lead Security Auditor</w:t>
      </w:r>
    </w:p>
    <w:p>
      <w:pPr>
        <w:spacing w:before="4800"/>
      </w:pPr>
      <w:r>
        <w:rPr>
          <w:rFonts w:ascii="Arial" w:cs="Arial" w:eastAsia="Arial" w:hAnsi="Arial"/>
          <w:color w:val="6B7280"/>
          <w:sz w:val="18"/>
          <w:szCs w:val="18"/>
        </w:rPr>
        <w:t xml:space="preserve">MMXX Dynamics Ltd · Sheffield, United Kingdom · mmxxdynamics.com</w:t>
      </w:r>
    </w:p>
    <w:p>
      <w:r>
        <w:br w:type="page"/>
      </w:r>
    </w:p>
    <w:p>
      <w:pPr>
        <w:pStyle w:val="Heading1"/>
        <w:spacing w:after="240" w:before="480"/>
      </w:pPr>
      <w:r>
        <w:rPr>
          <w:rFonts w:ascii="Arial" w:cs="Arial" w:eastAsia="Arial" w:hAnsi="Arial"/>
          <w:b/>
          <w:bCs/>
          <w:color w:val="2D4A9A"/>
          <w:sz w:val="36"/>
          <w:szCs w:val="36"/>
        </w:rPr>
        <w:t xml:space="preserve">Executive Summary</w:t>
      </w:r>
    </w:p>
    <w:p>
      <w:pPr>
        <w:spacing w:after="160" w:line="320"/>
        <w:jc w:val="both"/>
      </w:pPr>
      <w:r>
        <w:rPr>
          <w:rFonts w:ascii="Arial" w:cs="Arial" w:eastAsia="Arial" w:hAnsi="Arial"/>
          <w:color w:val="1F2937"/>
          <w:sz w:val="22"/>
          <w:szCs w:val="22"/>
        </w:rPr>
        <w:t xml:space="preserve">Most enterprise Web3 deployments underestimate the data layer. The protocol choice (which L1, which L2, which DA layer) gets six-figure attention in board papers; the indexing, observability, monitoring and compliance-reporting infrastructure that turns raw chain state into a usable enterprise system gets engineering team time and a single line in the budget. By the time the deployment is in production and the first audit is due, the cost asymmetry has reversed.</w:t>
      </w:r>
    </w:p>
    <w:p>
      <w:pPr>
        <w:spacing w:after="160" w:line="320"/>
        <w:jc w:val="both"/>
      </w:pPr>
      <w:r>
        <w:rPr>
          <w:rFonts w:ascii="Arial" w:cs="Arial" w:eastAsia="Arial" w:hAnsi="Arial"/>
          <w:color w:val="1F2937"/>
          <w:sz w:val="22"/>
          <w:szCs w:val="22"/>
        </w:rPr>
        <w:t xml:space="preserve">Public blockchains were not designed for analytics. They emit a torrent of low-level events (blocks, transactions, logs, traces, state diffs) across 150-plus chains, with no schemas, no labels, no built-in joins, no aggregations, and no concept of business entities. Turning that signal into usable facts (this user, this product, this dollar amount, this counterparty, this risk score) is the work of an entire stack of specialised infrastructure that did not exist five years ago and is now production-mature across five distinct layers: ingest, indexing, analytics and BI, real-time monitoring and security, and compliance and regulatory reporting.</w:t>
      </w:r>
    </w:p>
    <w:p>
      <w:pPr>
        <w:spacing w:after="160" w:line="320"/>
        <w:jc w:val="both"/>
      </w:pPr>
      <w:r>
        <w:rPr>
          <w:rFonts w:ascii="Arial" w:cs="Arial" w:eastAsia="Arial" w:hAnsi="Arial"/>
          <w:color w:val="1F2937"/>
          <w:sz w:val="22"/>
          <w:szCs w:val="22"/>
        </w:rPr>
        <w:t xml:space="preserve">This paper sets out a vendor-neutral reference architecture for that stack as it exists in May 2026. We name the production-grade platforms in each layer (The Graph, Goldsky, Subsquid, Allium, Envio, Dune, Token Terminal, Hypernative, Forta, Tenderly, Chainalysis, TRM Labs, Elliptic, Notabene) and explain what each does well, where the boundaries between them are moving, and how to compose them into a coherent enterprise system. We provide a build-versus-buy decision framework for each layer, a section on cross-chain observability (the layer that 2026 has not yet solved), and a closing reference architecture that brings the whole stack together.</w:t>
      </w:r>
    </w:p>
    <w:p>
      <w:pPr>
        <w:pBdr>
          <w:left w:val="single" w:color="35BEF0" w:sz="24" w:space="8"/>
        </w:pBdr>
        <w:shd w:fill="F1F5FF" w:val="clear"/>
        <w:spacing w:after="240" w:before="240" w:line="320"/>
        <w:ind w:left="360" w:right="240"/>
        <w:jc w:val="left"/>
      </w:pPr>
      <w:r>
        <w:rPr>
          <w:rFonts w:ascii="Arial" w:cs="Arial" w:eastAsia="Arial" w:hAnsi="Arial"/>
          <w:i/>
          <w:iCs/>
          <w:color w:val="1F2937"/>
          <w:sz w:val="22"/>
          <w:szCs w:val="22"/>
        </w:rPr>
        <w:t xml:space="preserve">In 2026 the protocol choice is increasingly commoditised. The data and observability layer is not. It is where enterprise Web3 deployments actually succeed or fail.</w:t>
      </w:r>
    </w:p>
    <w:p>
      <w:pPr>
        <w:spacing w:after="160" w:line="320"/>
        <w:jc w:val="both"/>
      </w:pPr>
      <w:r>
        <w:rPr>
          <w:rFonts w:ascii="Arial" w:cs="Arial" w:eastAsia="Arial" w:hAnsi="Arial"/>
          <w:color w:val="1F2937"/>
          <w:sz w:val="22"/>
          <w:szCs w:val="22"/>
        </w:rPr>
        <w:t xml:space="preserve">The intended audience is enterprise architects, CTOs, heads of data, compliance leads, and procurement teams scoping a Web3 build. The paper assumes familiarity with public blockchains at the protocol level and focuses entirely on the data, monitoring and compliance infrastructure on top. Read sequentially, it is a complete reference for an enterprise Web3 data platform. Read by section, each layer can be evaluated independently against an existing stack.</w:t>
      </w:r>
    </w:p>
    <w:p>
      <w:r>
        <w:br w:type="page"/>
      </w:r>
    </w:p>
    <w:p>
      <w:pPr>
        <w:pStyle w:val="Heading1"/>
        <w:spacing w:after="240" w:before="480"/>
      </w:pPr>
      <w:r>
        <w:rPr>
          <w:rFonts w:ascii="Arial" w:cs="Arial" w:eastAsia="Arial" w:hAnsi="Arial"/>
          <w:b/>
          <w:bCs/>
          <w:color w:val="2D4A9A"/>
          <w:sz w:val="36"/>
          <w:szCs w:val="36"/>
        </w:rPr>
        <w:t xml:space="preserve">1. The Data Fragmentation Problem</w:t>
      </w:r>
    </w:p>
    <w:p>
      <w:pPr>
        <w:spacing w:after="160" w:line="320"/>
        <w:jc w:val="both"/>
      </w:pPr>
      <w:r>
        <w:rPr>
          <w:rFonts w:ascii="Arial" w:cs="Arial" w:eastAsia="Arial" w:hAnsi="Arial"/>
          <w:color w:val="1F2937"/>
          <w:sz w:val="22"/>
          <w:szCs w:val="22"/>
        </w:rPr>
        <w:t xml:space="preserve">A 2026 enterprise Web3 deployment is multi-chain by default. A modest production system might settle on Ethereum mainnet, run business logic on Arbitrum or Base, accept stablecoin payments on Solana, hold tokenised Treasuries on a permissioned chain like Canton, and stream identity attestations from an EUDI Wallet running over a sovereign rollup. Each of these chains has its own block format, its own transaction schema, its own log encoding, its own decoding requirements, its own RPC providers, its own reorg behaviour, its own latency profile, and its own historical data quirks.</w:t>
      </w:r>
    </w:p>
    <w:p>
      <w:pPr>
        <w:spacing w:after="160" w:line="320"/>
        <w:jc w:val="both"/>
      </w:pPr>
      <w:r>
        <w:rPr>
          <w:rFonts w:ascii="Arial" w:cs="Arial" w:eastAsia="Arial" w:hAnsi="Arial"/>
          <w:color w:val="1F2937"/>
          <w:sz w:val="22"/>
          <w:szCs w:val="22"/>
        </w:rPr>
        <w:t xml:space="preserve">The gap between what the chain emits and what the business needs is wide. A USDC transfer on Base is, at the chain level, a transaction containing a calldata hash, a logs array, gas accounting and a state diff. At the business level it is a payroll batch from a fintech treasury to 142 named employees, three of whom are paid through a payment-routing partner whose internal wallet structure must be unwound, with a $0.43 fee that needs to be allocated between regional cost centres. Producing the second view from the first is the work of an entire indexing, decoding, enrichment, labelling and aggregation pipeline.</w:t>
      </w:r>
    </w:p>
    <w:p>
      <w:pPr>
        <w:spacing w:after="160" w:line="320"/>
        <w:jc w:val="both"/>
      </w:pPr>
      <w:r>
        <w:rPr>
          <w:rFonts w:ascii="Arial" w:cs="Arial" w:eastAsia="Arial" w:hAnsi="Arial"/>
          <w:color w:val="1F2937"/>
          <w:sz w:val="22"/>
          <w:szCs w:val="22"/>
        </w:rPr>
        <w:t xml:space="preserve">Three structural realities of 2026 make this work harder than it looks:</w:t>
      </w:r>
    </w:p>
    <w:p>
      <w:pPr>
        <w:pStyle w:val="ListParagraph"/>
        <w:numPr>
          <w:ilvl w:val="0"/>
          <w:numId w:val="2"/>
        </w:numPr>
        <w:spacing w:after="100" w:line="300"/>
      </w:pPr>
      <w:r>
        <w:rPr>
          <w:rFonts w:ascii="Arial" w:cs="Arial" w:eastAsia="Arial" w:hAnsi="Arial"/>
          <w:b/>
          <w:bCs/>
          <w:color w:val="1F2937"/>
          <w:sz w:val="22"/>
          <w:szCs w:val="22"/>
        </w:rPr>
        <w:t xml:space="preserve">Chain count is rising, not consolidating. </w:t>
      </w:r>
      <w:r>
        <w:rPr>
          <w:rFonts w:ascii="Arial" w:cs="Arial" w:eastAsia="Arial" w:hAnsi="Arial"/>
          <w:color w:val="1F2937"/>
          <w:sz w:val="22"/>
          <w:szCs w:val="22"/>
        </w:rPr>
        <w:t xml:space="preserve">DeFi Llama tracks 200+ chains; Allium covers 150+; The Graph 100+; specialised tools cover Bitcoin, Solana, Cosmos and Polkadot ecosystems. The L2 winner consolidation discussed elsewhere in our research has not reduced the count of chains that an enterprise might touch; it has increased the count of usable chains by promoting Base, Arbitrum, OP Mainnet, zkSync, Linea and Scroll into production-grade venues alongside their L1 settlement layer.</w:t>
      </w:r>
    </w:p>
    <w:p>
      <w:pPr>
        <w:pStyle w:val="ListParagraph"/>
        <w:numPr>
          <w:ilvl w:val="0"/>
          <w:numId w:val="2"/>
        </w:numPr>
        <w:spacing w:after="100" w:line="300"/>
      </w:pPr>
      <w:r>
        <w:rPr>
          <w:rFonts w:ascii="Arial" w:cs="Arial" w:eastAsia="Arial" w:hAnsi="Arial"/>
          <w:b/>
          <w:bCs/>
          <w:color w:val="1F2937"/>
          <w:sz w:val="22"/>
          <w:szCs w:val="22"/>
        </w:rPr>
        <w:t xml:space="preserve">The Graph Hosted Service was fully deprecated in 2026. </w:t>
      </w:r>
      <w:r>
        <w:rPr>
          <w:rFonts w:ascii="Arial" w:cs="Arial" w:eastAsia="Arial" w:hAnsi="Arial"/>
          <w:color w:val="1F2937"/>
          <w:sz w:val="22"/>
          <w:szCs w:val="22"/>
        </w:rPr>
        <w:t xml:space="preserve">The transition to The Graph Network and to alternative hosted indexers (Goldsky, Subsquid, Envio, Ormi) forced thousands of subgraphs to migrate or rebuild. The lesson is not that The Graph is wrong; it is that the indexing layer is mutable and any architecture that hard-codes a single indexer will face unplanned migration cost.</w:t>
      </w:r>
    </w:p>
    <w:p>
      <w:pPr>
        <w:pStyle w:val="ListParagraph"/>
        <w:numPr>
          <w:ilvl w:val="0"/>
          <w:numId w:val="2"/>
        </w:numPr>
        <w:spacing w:after="100" w:line="300"/>
      </w:pPr>
      <w:r>
        <w:rPr>
          <w:rFonts w:ascii="Arial" w:cs="Arial" w:eastAsia="Arial" w:hAnsi="Arial"/>
          <w:b/>
          <w:bCs/>
          <w:color w:val="1F2937"/>
          <w:sz w:val="22"/>
          <w:szCs w:val="22"/>
        </w:rPr>
        <w:t xml:space="preserve">Compliance attribution has become non-negotiable. </w:t>
      </w:r>
      <w:r>
        <w:rPr>
          <w:rFonts w:ascii="Arial" w:cs="Arial" w:eastAsia="Arial" w:hAnsi="Arial"/>
          <w:color w:val="1F2937"/>
          <w:sz w:val="22"/>
          <w:szCs w:val="22"/>
        </w:rPr>
        <w:t xml:space="preserve">Under MiCA's full enforcement, the GENIUS Act, and the FATF Travel Rule, an enterprise touching tokenised assets must produce auditable counterparty attribution, sanctions screening, and behavioural monitoring on every transaction. The compliance layer is no longer a downstream nice-to-have; it is upstream of everything else.</w:t>
      </w:r>
    </w:p>
    <w:p>
      <w:pPr>
        <w:spacing w:after="160" w:line="320"/>
        <w:jc w:val="both"/>
      </w:pPr>
      <w:r>
        <w:rPr>
          <w:rFonts w:ascii="Arial" w:cs="Arial" w:eastAsia="Arial" w:hAnsi="Arial"/>
          <w:color w:val="1F2937"/>
          <w:sz w:val="22"/>
          <w:szCs w:val="22"/>
        </w:rPr>
        <w:t xml:space="preserve">The result is that enterprise Web3 data infrastructure now resembles a modern banking data platform more than a blockchain explorer. It has ingest, decode, enrich, store, query, monitor, and report layers. Each layer is its own market with its own incumbents. Designing the platform without a clear model of all five layers produces gaps that surface, expensively, in the first regulatory audit or the first $100M security incident.</w:t>
      </w:r>
    </w:p>
    <w:p>
      <w:pPr>
        <w:pStyle w:val="Heading1"/>
        <w:spacing w:after="240" w:before="480"/>
      </w:pPr>
      <w:r>
        <w:rPr>
          <w:rFonts w:ascii="Arial" w:cs="Arial" w:eastAsia="Arial" w:hAnsi="Arial"/>
          <w:b/>
          <w:bCs/>
          <w:color w:val="2D4A9A"/>
          <w:sz w:val="36"/>
          <w:szCs w:val="36"/>
        </w:rPr>
        <w:t xml:space="preserve">2. The Five-Layer Reference Stack</w:t>
      </w:r>
    </w:p>
    <w:p>
      <w:pPr>
        <w:spacing w:after="160" w:line="320"/>
        <w:jc w:val="both"/>
      </w:pPr>
      <w:r>
        <w:rPr>
          <w:rFonts w:ascii="Arial" w:cs="Arial" w:eastAsia="Arial" w:hAnsi="Arial"/>
          <w:color w:val="1F2937"/>
          <w:sz w:val="22"/>
          <w:szCs w:val="22"/>
        </w:rPr>
        <w:t xml:space="preserve">The architecture in this paper is organised around five layers. Each layer has a distinct role, a distinct vendor landscape, and a distinct set of trade-offs. The diagrammatic logic is bottom-up, every layer depends on the one below it, but in practice an enterprise might procure layers in a different order, depending on the most pressing pain 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80"/>
        <w:gridCol w:w="3080"/>
      </w:tblGrid>
      <w:tr>
        <w:trPr>
          <w:tblHeader/>
        </w:trPr>
        <w:tc>
          <w:tcPr>
            <w:tcW w:type="dxa" w:w="22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Layer</w:t>
            </w:r>
          </w:p>
        </w:tc>
        <w:tc>
          <w:tcPr>
            <w:tcW w:type="dxa" w:w="408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Role</w:t>
            </w:r>
          </w:p>
        </w:tc>
        <w:tc>
          <w:tcPr>
            <w:tcW w:type="dxa" w:w="308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Sample platforms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1. Ingest</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Pull raw blocks, transactions, logs, traces, state from chain nodes; manage reorgs; archive history.</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Alchemy, Infura/Consensys, QuickNode, Ankr, Chainstack, self-hosted archival nodes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2. Indexing</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Decode contracts, extract events, build queryable schemas, expose GraphQL/SQL/REST APIs.</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The Graph, Goldsky, Subsquid (SQD), SubQuery, Envio, Ormi, Ponder</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3. Analytics &amp; BI</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Multi-chain SQL warehouse, dashboards, business metrics, data shares to existing BI stack.</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Dune Analytics, Allium, Token Terminal, Nansen, Artemis, Flipside, DeFiLlama</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4. Monitoring &amp; Security</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Real-time threat detection, transaction simulation, automated response, SLA observability.</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Hypernative, Forta, Tenderly, OpenZeppelin Defender, Chaos Labs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5. Compliance &amp; Reporting</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Sanctions screening, KYT/AML transaction monitoring, Travel Rule, regulatory reporting.</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Chainalysis, TRM Labs, Elliptic, Notabene, Scorechain, Merkle Science</w:t>
            </w:r>
          </w:p>
        </w:tc>
      </w:tr>
    </w:tbl>
    <w:p>
      <w:pPr>
        <w:spacing w:after="160" w:line="320"/>
        <w:jc w:val="both"/>
      </w:pPr>
      <w:r>
        <w:rPr>
          <w:rFonts w:ascii="Arial" w:cs="Arial" w:eastAsia="Arial" w:hAnsi="Arial"/>
          <w:color w:val="1F2937"/>
          <w:sz w:val="22"/>
          <w:szCs w:val="22"/>
        </w:rPr>
        <w:t xml:space="preserve">Two axes cut across these five layers and deserve separate treatment. The first is cross-chain observability, the unsolved problem of producing a single coherent view of business activity that spans multiple chains. The second is the AI-native analytics layer that emerged through 2025–2026, where natural-language interfaces and AI agents now sit on top of the SQL and GraphQL surfaces. Both are addressed in dedicated sections later in the paper.</w:t>
      </w:r>
    </w:p>
    <w:p>
      <w:r>
        <w:br w:type="page"/>
      </w:r>
    </w:p>
    <w:p>
      <w:pPr>
        <w:pStyle w:val="Heading1"/>
        <w:spacing w:after="240" w:before="480"/>
      </w:pPr>
      <w:r>
        <w:rPr>
          <w:rFonts w:ascii="Arial" w:cs="Arial" w:eastAsia="Arial" w:hAnsi="Arial"/>
          <w:b/>
          <w:bCs/>
          <w:color w:val="2D4A9A"/>
          <w:sz w:val="36"/>
          <w:szCs w:val="36"/>
        </w:rPr>
        <w:t xml:space="preserve">3. Layer 1, Ingest</w:t>
      </w:r>
    </w:p>
    <w:p>
      <w:pPr>
        <w:spacing w:after="160" w:line="320"/>
        <w:jc w:val="both"/>
      </w:pPr>
      <w:r>
        <w:rPr>
          <w:rFonts w:ascii="Arial" w:cs="Arial" w:eastAsia="Arial" w:hAnsi="Arial"/>
          <w:color w:val="1F2937"/>
          <w:sz w:val="22"/>
          <w:szCs w:val="22"/>
        </w:rPr>
        <w:t xml:space="preserve">The ingest layer pulls raw blockchain data from chain nodes into a system that can process it. In 2026 this is a mature category, dominated commercially by node-as-a-service providers (Alchemy, Infura/Consensys, QuickNode, Ankr, Chainstack) and architecturally by a clear separation between three distinct ingest patterns.</w:t>
      </w:r>
    </w:p>
    <w:p>
      <w:pPr>
        <w:pStyle w:val="Heading3"/>
        <w:spacing w:after="120" w:before="240"/>
      </w:pPr>
      <w:r>
        <w:rPr>
          <w:rFonts w:ascii="Arial" w:cs="Arial" w:eastAsia="Arial" w:hAnsi="Arial"/>
          <w:b/>
          <w:bCs/>
          <w:color w:val="1F2937"/>
          <w:sz w:val="24"/>
          <w:szCs w:val="24"/>
        </w:rPr>
        <w:t xml:space="preserve">RPC ingest</w:t>
      </w:r>
    </w:p>
    <w:p>
      <w:pPr>
        <w:spacing w:after="160" w:line="320"/>
        <w:jc w:val="both"/>
      </w:pPr>
      <w:r>
        <w:rPr>
          <w:rFonts w:ascii="Arial" w:cs="Arial" w:eastAsia="Arial" w:hAnsi="Arial"/>
          <w:color w:val="1F2937"/>
          <w:sz w:val="22"/>
          <w:szCs w:val="22"/>
        </w:rPr>
        <w:t xml:space="preserve">The default. The application or indexer makes JSON-RPC calls to a chain node, `eth_getLogs`, `eth_getBlockByNumber`, `debug_traceTransaction`, and pulls data on demand or via subscription. RPC ingest is universally supported but rate-limited, latency-bound, and expensive at scale. For high-throughput workloads (catching every block on a high-TPS chain, real-time event subscriptions across hundreds of contracts) RPC quickly becomes the bottleneck.</w:t>
      </w:r>
    </w:p>
    <w:p>
      <w:pPr>
        <w:pStyle w:val="Heading3"/>
        <w:spacing w:after="120" w:before="240"/>
      </w:pPr>
      <w:r>
        <w:rPr>
          <w:rFonts w:ascii="Arial" w:cs="Arial" w:eastAsia="Arial" w:hAnsi="Arial"/>
          <w:b/>
          <w:bCs/>
          <w:color w:val="1F2937"/>
          <w:sz w:val="24"/>
          <w:szCs w:val="24"/>
        </w:rPr>
        <w:t xml:space="preserve">WebSocket and streaming ingest</w:t>
      </w:r>
    </w:p>
    <w:p>
      <w:pPr>
        <w:spacing w:after="160" w:line="320"/>
        <w:jc w:val="both"/>
      </w:pPr>
      <w:r>
        <w:rPr>
          <w:rFonts w:ascii="Arial" w:cs="Arial" w:eastAsia="Arial" w:hAnsi="Arial"/>
          <w:color w:val="1F2937"/>
          <w:sz w:val="22"/>
          <w:szCs w:val="22"/>
        </w:rPr>
        <w:t xml:space="preserve">Most modern indexers and monitoring platforms ingest via WebSocket subscriptions or streaming endpoints (Allium Datastreams, Goldsky Mirror, Envio HyperSync). Latency drops to seconds or sub-second, and the cost model moves to volume-based rather than per-call. Allium streams via Kafka, PubSub or SNS with 1–2 second latency; Hypernative ingests across 70+ chains in real time for pre-transaction security analysis.</w:t>
      </w:r>
    </w:p>
    <w:p>
      <w:pPr>
        <w:pStyle w:val="Heading3"/>
        <w:spacing w:after="120" w:before="240"/>
      </w:pPr>
      <w:r>
        <w:rPr>
          <w:rFonts w:ascii="Arial" w:cs="Arial" w:eastAsia="Arial" w:hAnsi="Arial"/>
          <w:b/>
          <w:bCs/>
          <w:color w:val="1F2937"/>
          <w:sz w:val="24"/>
          <w:szCs w:val="24"/>
        </w:rPr>
        <w:t xml:space="preserve">Archive and historical backfill</w:t>
      </w:r>
    </w:p>
    <w:p>
      <w:pPr>
        <w:spacing w:after="160" w:line="320"/>
        <w:jc w:val="both"/>
      </w:pPr>
      <w:r>
        <w:rPr>
          <w:rFonts w:ascii="Arial" w:cs="Arial" w:eastAsia="Arial" w:hAnsi="Arial"/>
          <w:color w:val="1F2937"/>
          <w:sz w:val="22"/>
          <w:szCs w:val="22"/>
        </w:rPr>
        <w:t xml:space="preserve">For analytics and compliance use cases, the system needs the entire chain history, not just the head. Archive nodes are computationally expensive (Ethereum's full archive state is several terabytes) and operationally fragile. Most enterprises buy archival data rather than self-host: every major node-as-a-service provider offers archival-grade endpoints, and specialised platforms (Subsquid's decentralised data lake, Envio's HyperSync) deliver archival data orders of magnitude faster than RPC. Envio's open benchmark shows HyperSync ingest up to 2,000x faster than RPC for historical backfill.</w:t>
      </w:r>
    </w:p>
    <w:p>
      <w:pPr>
        <w:pStyle w:val="Heading3"/>
        <w:spacing w:after="120" w:before="240"/>
      </w:pPr>
      <w:r>
        <w:rPr>
          <w:rFonts w:ascii="Arial" w:cs="Arial" w:eastAsia="Arial" w:hAnsi="Arial"/>
          <w:b/>
          <w:bCs/>
          <w:color w:val="1F2937"/>
          <w:sz w:val="24"/>
          <w:szCs w:val="24"/>
        </w:rPr>
        <w:t xml:space="preserve">The build-vs-buy decision at Layer 1</w:t>
      </w:r>
    </w:p>
    <w:p>
      <w:pPr>
        <w:spacing w:after="160" w:line="320"/>
        <w:jc w:val="both"/>
      </w:pPr>
      <w:r>
        <w:rPr>
          <w:rFonts w:ascii="Arial" w:cs="Arial" w:eastAsia="Arial" w:hAnsi="Arial"/>
          <w:color w:val="1F2937"/>
          <w:sz w:val="22"/>
          <w:szCs w:val="22"/>
        </w:rPr>
        <w:t xml:space="preserve">Self-hosting nodes is now justified only for three cases: extreme throughput (&gt;10,000 RPS sustained), regulatory data-residency mandates that prohibit third-party RPC providers, or strategic positioning (running validator nodes for governance reasons, as Visa, Fidelity and Sumitomo are doing on Canton, LayerZero and Avalanche respectively). Every other enterprise should buy ingest from a Tier-1 provider with multi-region failover and explicit SLAs. The marginal cost saving of self-hosting is rarely worth the operational burden of keeping archive nodes synced through forks, hard upgrades and reorg cascades.</w:t>
      </w:r>
    </w:p>
    <w:p>
      <w:pPr>
        <w:pStyle w:val="Heading1"/>
        <w:spacing w:after="240" w:before="480"/>
      </w:pPr>
      <w:r>
        <w:rPr>
          <w:rFonts w:ascii="Arial" w:cs="Arial" w:eastAsia="Arial" w:hAnsi="Arial"/>
          <w:b/>
          <w:bCs/>
          <w:color w:val="2D4A9A"/>
          <w:sz w:val="36"/>
          <w:szCs w:val="36"/>
        </w:rPr>
        <w:t xml:space="preserve">4. Layer 2, Indexing</w:t>
      </w:r>
    </w:p>
    <w:p>
      <w:pPr>
        <w:spacing w:after="160" w:line="320"/>
        <w:jc w:val="both"/>
      </w:pPr>
      <w:r>
        <w:rPr>
          <w:rFonts w:ascii="Arial" w:cs="Arial" w:eastAsia="Arial" w:hAnsi="Arial"/>
          <w:color w:val="1F2937"/>
          <w:sz w:val="22"/>
          <w:szCs w:val="22"/>
        </w:rPr>
        <w:t xml:space="preserve">The indexing layer is where raw chain events become queryable structured data. A blockchain indexer listens to events from one or more chains, decodes them against contract ABIs, transforms them into a custom schema, and exposes the result via GraphQL, SQL or REST. This layer has been the most disrupted of the five since 2024.</w:t>
      </w:r>
    </w:p>
    <w:p>
      <w:pPr>
        <w:pStyle w:val="Heading2"/>
        <w:spacing w:after="160" w:before="320"/>
      </w:pPr>
      <w:r>
        <w:rPr>
          <w:rFonts w:ascii="Arial" w:cs="Arial" w:eastAsia="Arial" w:hAnsi="Arial"/>
          <w:b/>
          <w:bCs/>
          <w:color w:val="2D4A9A"/>
          <w:sz w:val="28"/>
          <w:szCs w:val="28"/>
        </w:rPr>
        <w:t xml:space="preserve">4.1 The 2026 indexing landscape</w:t>
      </w:r>
    </w:p>
    <w:p>
      <w:pPr>
        <w:spacing w:after="160" w:line="320"/>
        <w:jc w:val="both"/>
      </w:pPr>
      <w:r>
        <w:rPr>
          <w:rFonts w:ascii="Arial" w:cs="Arial" w:eastAsia="Arial" w:hAnsi="Arial"/>
          <w:color w:val="1F2937"/>
          <w:sz w:val="22"/>
          <w:szCs w:val="22"/>
        </w:rPr>
        <w:t xml:space="preserve">As of early 2026, the production-grade indexing platforms split into roughly three groups. Decentralised subgraph indexers (The Graph Network, Subsquid's decentralised data lake) prioritise censorship resistance and crypto-native operation. Managed subgraph hosts (Goldsky, Ormi, Chainbase) offer Graph-compatible deployment with enterprise SLAs. Performance-first frameworks (Envio, Ponder) prioritise speed and developer experience over decentralisation.</w:t>
      </w:r>
    </w:p>
    <w:p>
      <w:pPr>
        <w:spacing w:after="160" w:line="320"/>
        <w:jc w:val="both"/>
      </w:pPr>
      <w:r>
        <w:rPr>
          <w:rFonts w:ascii="Arial" w:cs="Arial" w:eastAsia="Arial" w:hAnsi="Arial"/>
          <w:color w:val="1F2937"/>
          <w:sz w:val="22"/>
          <w:szCs w:val="22"/>
        </w:rPr>
        <w:t xml:space="preserve">The deprecation of The Graph Hosted Service in 2026 was a watershed event. Tens of thousands of subgraphs that had run on The Graph's hosted infrastructure for years had to migrate either to The Graph Network (decentralised, GRT-based) or to alternative hosted platforms. Goldsky, Ormi and SubQuery captured most of the migration; Envio attracted teams willing to rebuild for performance gains.</w:t>
      </w:r>
    </w:p>
    <w:p>
      <w:pPr>
        <w:pStyle w:val="Heading2"/>
        <w:spacing w:after="160" w:before="320"/>
      </w:pPr>
      <w:r>
        <w:rPr>
          <w:rFonts w:ascii="Arial" w:cs="Arial" w:eastAsia="Arial" w:hAnsi="Arial"/>
          <w:b/>
          <w:bCs/>
          <w:color w:val="2D4A9A"/>
          <w:sz w:val="28"/>
          <w:szCs w:val="28"/>
        </w:rPr>
        <w:t xml:space="preserve">4.2 Vendor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900"/>
        <w:gridCol w:w="2660"/>
        <w:gridCol w:w="2400"/>
      </w:tblGrid>
      <w:tr>
        <w:trPr>
          <w:tblHeader/>
        </w:trPr>
        <w:tc>
          <w:tcPr>
            <w:tcW w:type="dxa" w:w="24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Platform</w:t>
            </w:r>
          </w:p>
        </w:tc>
        <w:tc>
          <w:tcPr>
            <w:tcW w:type="dxa" w:w="19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Chain count</w:t>
            </w:r>
          </w:p>
        </w:tc>
        <w:tc>
          <w:tcPr>
            <w:tcW w:type="dxa" w:w="266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Model</w:t>
            </w:r>
          </w:p>
        </w:tc>
        <w:tc>
          <w:tcPr>
            <w:tcW w:type="dxa" w:w="24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Best fit</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The Graph Network</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100+ EVM</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Decentralised, GRT-based query market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Teams aligned with crypto-native, decentralised indexing</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Goldsky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150+</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Managed Graph-compatible + Mirror streaming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Production dApps wanting subgraphs without ops burden</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Subsquid (SQD)</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100+ EVM/non-EVM</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Decentralised data lake + custom pipelines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High-volume historical extraction; granular control</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SubQuery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300+ chains</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Managed, broadest non-EVM coverage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Polkadot, Cosmos, Bitcoin-inclusive deployments</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Envio</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70+ EVM (HyperSync)</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Self-hostable, fastest benchmarked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Teams with DevOps capacity and performance-critical workloads</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Ormi</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EVM + L2</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&lt;30ms latency, 4k+ RPS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Latency-sensitive trading, perps, gaming, AI agents</w:t>
            </w:r>
          </w:p>
        </w:tc>
      </w:tr>
      <w:tr>
        <w:tc>
          <w:tcPr>
            <w:tcW w:type="dxa" w:w="24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Chainbase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Multi-chain</w:t>
            </w:r>
          </w:p>
        </w:tc>
        <w:tc>
          <w:tcPr>
            <w:tcW w:type="dxa" w:w="26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No-code, broad chain coverage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Rapid prototyping, non-engineering teams</w:t>
            </w:r>
          </w:p>
        </w:tc>
      </w:tr>
    </w:tbl>
    <w:p>
      <w:pPr>
        <w:spacing w:after="160" w:line="320"/>
        <w:jc w:val="both"/>
      </w:pPr>
      <w:r>
        <w:rPr>
          <w:rFonts w:ascii="Arial" w:cs="Arial" w:eastAsia="Arial" w:hAnsi="Arial"/>
          <w:color w:val="1F2937"/>
          <w:sz w:val="22"/>
          <w:szCs w:val="22"/>
        </w:rPr>
        <w:t xml:space="preserve">Performance differences in 2026 are real and measurable. Ormi cites sub-30ms query response and over 4,000 requests per second, used by Ostium (a perp DEX with $150M+ daily volume) after migrating from Goldsky and Alchemy. Goldsky offers sub-second indexing latency. Envio's HyperSync benchmarks show 2,000x faster historical backfill versus RPC. The right choice depends on whether the workload is latency-bound at the head, throughput-bound on backfill, or operationally bound on team capacity.</w:t>
      </w:r>
    </w:p>
    <w:p>
      <w:pPr>
        <w:pStyle w:val="Heading2"/>
        <w:spacing w:after="160" w:before="320"/>
      </w:pPr>
      <w:r>
        <w:rPr>
          <w:rFonts w:ascii="Arial" w:cs="Arial" w:eastAsia="Arial" w:hAnsi="Arial"/>
          <w:b/>
          <w:bCs/>
          <w:color w:val="2D4A9A"/>
          <w:sz w:val="28"/>
          <w:szCs w:val="28"/>
        </w:rPr>
        <w:t xml:space="preserve">4.3 The custom-indexer-versus-data-API choice</w:t>
      </w:r>
    </w:p>
    <w:p>
      <w:pPr>
        <w:spacing w:after="160" w:line="320"/>
        <w:jc w:val="both"/>
      </w:pPr>
      <w:r>
        <w:rPr>
          <w:rFonts w:ascii="Arial" w:cs="Arial" w:eastAsia="Arial" w:hAnsi="Arial"/>
          <w:color w:val="1F2937"/>
          <w:sz w:val="22"/>
          <w:szCs w:val="22"/>
        </w:rPr>
        <w:t xml:space="preserve">A subgraph indexer (The Graph, Goldsky, Subsquid, Envio, Ponder) lets a team define exactly what data to track for a specific contract or set of contracts and build a custom schema. A data API (Allium, Covalent, Moralis, Bitquery, Alchemy) exposes pre-indexed data across many chains as a managed product. Both are useful; they solve different problems.</w:t>
      </w:r>
    </w:p>
    <w:p>
      <w:pPr>
        <w:spacing w:after="160" w:line="320"/>
        <w:jc w:val="both"/>
      </w:pPr>
      <w:r>
        <w:rPr>
          <w:rFonts w:ascii="Arial" w:cs="Arial" w:eastAsia="Arial" w:hAnsi="Arial"/>
          <w:color w:val="1F2937"/>
          <w:sz w:val="22"/>
          <w:szCs w:val="22"/>
        </w:rPr>
        <w:t xml:space="preserve">The custom-indexer pattern is right when the application has specific decoded data needs that no managed product covers, when the schema is non-trivial, or when the volume is high enough that managed-product pricing is uncompetitive. The data-API pattern is right when broad coverage matters more than schema specificity (a wallet listing all token balances; a tax tool reading all transfers; a portfolio dashboard), when team velocity matters more than fine control, or when pre-decoded protocol coverage is the differentiator.</w:t>
      </w:r>
    </w:p>
    <w:p>
      <w:pPr>
        <w:spacing w:after="160" w:line="320"/>
        <w:jc w:val="both"/>
      </w:pPr>
      <w:r>
        <w:rPr>
          <w:rFonts w:ascii="Arial" w:cs="Arial" w:eastAsia="Arial" w:hAnsi="Arial"/>
          <w:color w:val="1F2937"/>
          <w:sz w:val="22"/>
          <w:szCs w:val="22"/>
        </w:rPr>
        <w:t xml:space="preserve">In an enterprise architecture, both typically appear: custom indexers for the application's core contracts, data APIs for the broader on-chain context (token balances, prices, DEX liquidity, NFT metadata) that the application needs but does not own.</w:t>
      </w:r>
    </w:p>
    <w:p>
      <w:pPr>
        <w:pStyle w:val="Heading2"/>
        <w:spacing w:after="160" w:before="320"/>
      </w:pPr>
      <w:r>
        <w:rPr>
          <w:rFonts w:ascii="Arial" w:cs="Arial" w:eastAsia="Arial" w:hAnsi="Arial"/>
          <w:b/>
          <w:bCs/>
          <w:color w:val="2D4A9A"/>
          <w:sz w:val="28"/>
          <w:szCs w:val="28"/>
        </w:rPr>
        <w:t xml:space="preserve">4.4 The decoded-protocol layer</w:t>
      </w:r>
    </w:p>
    <w:p>
      <w:pPr>
        <w:spacing w:after="160" w:line="320"/>
        <w:jc w:val="both"/>
      </w:pPr>
      <w:r>
        <w:rPr>
          <w:rFonts w:ascii="Arial" w:cs="Arial" w:eastAsia="Arial" w:hAnsi="Arial"/>
          <w:color w:val="1F2937"/>
          <w:sz w:val="22"/>
          <w:szCs w:val="22"/>
        </w:rPr>
        <w:t xml:space="preserve">Above raw indexing sits the decoded-protocol layer, which converts raw events into business-meaningful entities (a Uniswap swap, an Aave borrow, a Compound supply, a Curve vote). Allium ships over 10,000 pre-decoded schemas across 100+ leading DEXes and protocols. Dune has parsed over 280,000 smart contracts. Token Terminal maintains protocol-level financial schemas mapping every protocol to a consistent revenue/fee/TVL model. This decoded layer is what lets an analyst write a query like 'all stablecoin payroll batches across Base and Arbitrum in March 2026' rather than reconstructing the same logic from raw `Transfer` events.</w:t>
      </w:r>
    </w:p>
    <w:p>
      <w:pPr>
        <w:spacing w:after="160" w:line="320"/>
        <w:jc w:val="both"/>
      </w:pPr>
      <w:r>
        <w:rPr>
          <w:rFonts w:ascii="Arial" w:cs="Arial" w:eastAsia="Arial" w:hAnsi="Arial"/>
          <w:color w:val="1F2937"/>
          <w:sz w:val="22"/>
          <w:szCs w:val="22"/>
        </w:rPr>
        <w:t xml:space="preserve">For an enterprise data platform, the practical question is whether to build the decoded layer in-house (high engineering cost, full control, no vendor lock-in) or to consume it from a vendor who has already done the work. The right answer depends on the breadth of protocols the platform needs to cover. For an application-specific deployment touching ten contracts, custom decoding wins. For an enterprise data platform that needs to track every DEX, lending market and stablecoin issuer the firm might counterparty with, vendor decoding wins.</w:t>
      </w:r>
    </w:p>
    <w:p>
      <w:r>
        <w:br w:type="page"/>
      </w:r>
    </w:p>
    <w:p>
      <w:pPr>
        <w:pStyle w:val="Heading1"/>
        <w:spacing w:after="240" w:before="480"/>
      </w:pPr>
      <w:r>
        <w:rPr>
          <w:rFonts w:ascii="Arial" w:cs="Arial" w:eastAsia="Arial" w:hAnsi="Arial"/>
          <w:b/>
          <w:bCs/>
          <w:color w:val="2D4A9A"/>
          <w:sz w:val="36"/>
          <w:szCs w:val="36"/>
        </w:rPr>
        <w:t xml:space="preserve">5. Layer 3, Analytics and Business Intelligence</w:t>
      </w:r>
    </w:p>
    <w:p>
      <w:pPr>
        <w:spacing w:after="160" w:line="320"/>
        <w:jc w:val="both"/>
      </w:pPr>
      <w:r>
        <w:rPr>
          <w:rFonts w:ascii="Arial" w:cs="Arial" w:eastAsia="Arial" w:hAnsi="Arial"/>
          <w:color w:val="1F2937"/>
          <w:sz w:val="22"/>
          <w:szCs w:val="22"/>
        </w:rPr>
        <w:t xml:space="preserve">Above the indexing layer sits analytics and BI, the layer at which data becomes decision-ready. In 2026 this layer has bifurcated cleanly into two camps. Self-serve SQL analytics platforms (Dune, Flipside) optimise for analyst experience and community sharing; managed warehouse platforms (Allium) optimise for production data pipelines and joins with off-chain data. Curated metric platforms (Token Terminal, Artemis, DeFiLlama, Nansen) sit on top of both.</w:t>
      </w:r>
    </w:p>
    <w:p>
      <w:pPr>
        <w:pStyle w:val="Heading2"/>
        <w:spacing w:after="160" w:before="320"/>
      </w:pPr>
      <w:r>
        <w:rPr>
          <w:rFonts w:ascii="Arial" w:cs="Arial" w:eastAsia="Arial" w:hAnsi="Arial"/>
          <w:b/>
          <w:bCs/>
          <w:color w:val="2D4A9A"/>
          <w:sz w:val="28"/>
          <w:szCs w:val="28"/>
        </w:rPr>
        <w:t xml:space="preserve">5.1 Vendor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2400"/>
        <w:gridCol w:w="2360"/>
      </w:tblGrid>
      <w:tr>
        <w:trPr>
          <w:tblHeader/>
        </w:trPr>
        <w:tc>
          <w:tcPr>
            <w:tcW w:type="dxa" w:w="22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Platform</w:t>
            </w:r>
          </w:p>
        </w:tc>
        <w:tc>
          <w:tcPr>
            <w:tcW w:type="dxa" w:w="24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Surface</w:t>
            </w:r>
          </w:p>
        </w:tc>
        <w:tc>
          <w:tcPr>
            <w:tcW w:type="dxa" w:w="24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Coverage</w:t>
            </w:r>
          </w:p>
        </w:tc>
        <w:tc>
          <w:tcPr>
            <w:tcW w:type="dxa" w:w="236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Best fit</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Dune Analytics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SQL editor + public dashboards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100+ chains, 280k+ parsed contracts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Self-serve analytics; community-facing dashboards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Allium</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Warehouse drops to Snowflake/BigQuery/Databricks + Datastreams + Explorer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150+ chains, 10k+ pre-decoded schemas, SOC 1/2 certified</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Production data pipelines; institutional accuracy</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Token Terminal</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Curated protocol KPIs and metrics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Top DeFi/L1/L2 protocols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Investment research; executive dashboards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Nansen</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Wallet labels and entity tracking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EVM + Solana + Bitcoin</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Trading desks; smart-money analysis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Artemis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Curated chain and ecosystem metrics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All major chains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Comparative ecosystem analysis</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DeFiLlama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TVL, protocol metrics, public API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200+ chains, 4,000+ protocols</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Open-data benchmarking; cost-free reference</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Flipside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SQL + community bounties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Major EVM + Solana + Near</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Cohort analytics; cleaner active-user definitions</w:t>
            </w:r>
          </w:p>
        </w:tc>
      </w:tr>
    </w:tbl>
    <w:p>
      <w:pPr>
        <w:spacing w:after="160" w:line="320"/>
        <w:jc w:val="both"/>
      </w:pPr>
      <w:r>
        <w:rPr>
          <w:rFonts w:ascii="Arial" w:cs="Arial" w:eastAsia="Arial" w:hAnsi="Arial"/>
          <w:color w:val="1F2937"/>
          <w:sz w:val="22"/>
          <w:szCs w:val="22"/>
        </w:rPr>
        <w:t xml:space="preserve">The Dune-Allium pair captures the central tradeoff. Dune is the largest by user count, with over one million queries published, 280,000 parsed smart contracts, and a free tier suitable for most casual use. It is optimised for analyst flexibility, public sharing and rapid prototyping. Independent research from KTH Royal Institute of Technology found Allium's data deviates just 0.000011% from ground-truth node data, compared to 7.2% for community platforms. The gap reflects different engineering investments rather than bad faith on either side, but it matters for financial reporting, audit preparation and regulatory compliance. Allium customers as of 2026 include Visa, Stripe, Uniswap Labs, Phantom and a number of stablecoin issuers; pricing is enterprise quote-based, starting in the high four figures monthly.</w:t>
      </w:r>
    </w:p>
    <w:p>
      <w:pPr>
        <w:pStyle w:val="Heading2"/>
        <w:spacing w:after="160" w:before="320"/>
      </w:pPr>
      <w:r>
        <w:rPr>
          <w:rFonts w:ascii="Arial" w:cs="Arial" w:eastAsia="Arial" w:hAnsi="Arial"/>
          <w:b/>
          <w:bCs/>
          <w:color w:val="2D4A9A"/>
          <w:sz w:val="28"/>
          <w:szCs w:val="28"/>
        </w:rPr>
        <w:t xml:space="preserve">5.2 The warehouse-delivery pattern</w:t>
      </w:r>
    </w:p>
    <w:p>
      <w:pPr>
        <w:spacing w:after="160" w:line="320"/>
        <w:jc w:val="both"/>
      </w:pPr>
      <w:r>
        <w:rPr>
          <w:rFonts w:ascii="Arial" w:cs="Arial" w:eastAsia="Arial" w:hAnsi="Arial"/>
          <w:color w:val="1F2937"/>
          <w:sz w:val="22"/>
          <w:szCs w:val="22"/>
        </w:rPr>
        <w:t xml:space="preserve">The most consequential 2025–2026 change in this layer has been the maturity of warehouse-delivery models. Allium ships decoded blockchain data via Snowflake Data Sharing, BigQuery Authorized Views and Databricks Delta Sharing. Once the data lands in the customer's existing warehouse, it joins with off-chain data (internal product metrics, CRM, ERP, payment logs, customer identity) using the same SQL engine that runs the rest of the business intelligence stack. For enterprise teams that already have Snowflake, BigQuery or Databricks, this is the lowest-friction integration available.</w:t>
      </w:r>
    </w:p>
    <w:p>
      <w:pPr>
        <w:spacing w:after="160" w:line="320"/>
        <w:jc w:val="both"/>
      </w:pPr>
      <w:r>
        <w:rPr>
          <w:rFonts w:ascii="Arial" w:cs="Arial" w:eastAsia="Arial" w:hAnsi="Arial"/>
          <w:color w:val="1F2937"/>
          <w:sz w:val="22"/>
          <w:szCs w:val="22"/>
        </w:rPr>
        <w:t xml:space="preserve">The architectural implication is that on-chain data is increasingly treated as just another data source (equivalent to Stripe, Salesforce, or Segment) rather than as a separate analytics silo. The 2024 pattern of 'we have a Web3 team and they have a Dune subscription' is being replaced by 'on-chain data is in the same warehouse as our other data, governed by the same data team, and queried by the same analysts.' This is a meaningful operational maturity step.</w:t>
      </w:r>
    </w:p>
    <w:p>
      <w:pPr>
        <w:pStyle w:val="Heading2"/>
        <w:spacing w:after="160" w:before="320"/>
      </w:pPr>
      <w:r>
        <w:rPr>
          <w:rFonts w:ascii="Arial" w:cs="Arial" w:eastAsia="Arial" w:hAnsi="Arial"/>
          <w:b/>
          <w:bCs/>
          <w:color w:val="2D4A9A"/>
          <w:sz w:val="28"/>
          <w:szCs w:val="28"/>
        </w:rPr>
        <w:t xml:space="preserve">5.3 Curated metric layers</w:t>
      </w:r>
    </w:p>
    <w:p>
      <w:pPr>
        <w:spacing w:after="160" w:line="320"/>
        <w:jc w:val="both"/>
      </w:pPr>
      <w:r>
        <w:rPr>
          <w:rFonts w:ascii="Arial" w:cs="Arial" w:eastAsia="Arial" w:hAnsi="Arial"/>
          <w:color w:val="1F2937"/>
          <w:sz w:val="22"/>
          <w:szCs w:val="22"/>
        </w:rPr>
        <w:t xml:space="preserve">Above raw SQL sit the curated metric platforms. Token Terminal applies a consistent financial framework across protocols (revenue, fees, TVL, P/E, P/S). DeFiLlama is the open-data reference for total value locked. Artemis curates ecosystem comparisons. Nansen provides labelled wallet intelligence. These are not raw-data platforms; they are interpretation layers over raw data, serving exec dashboards, investor reporting, and product decisions where the question is comparative ('how does our protocol's revenue compare to peers?') rather than exploratory.</w:t>
      </w:r>
    </w:p>
    <w:p>
      <w:pPr>
        <w:spacing w:after="160" w:line="320"/>
        <w:jc w:val="both"/>
      </w:pPr>
      <w:r>
        <w:rPr>
          <w:rFonts w:ascii="Arial" w:cs="Arial" w:eastAsia="Arial" w:hAnsi="Arial"/>
          <w:color w:val="1F2937"/>
          <w:sz w:val="22"/>
          <w:szCs w:val="22"/>
        </w:rPr>
        <w:t xml:space="preserve">For an enterprise architecture, curated metrics belong in the BI layer alongside business KPIs, not in the data engineering pipeline. An exec dashboard showing protocol revenue versus benchmark, fee capture versus peers, and treasury composition is a Token Terminal or Artemis embed; it is not a custom Dune query.</w:t>
      </w:r>
    </w:p>
    <w:p>
      <w:pPr>
        <w:pStyle w:val="Heading1"/>
        <w:spacing w:after="240" w:before="480"/>
      </w:pPr>
      <w:r>
        <w:rPr>
          <w:rFonts w:ascii="Arial" w:cs="Arial" w:eastAsia="Arial" w:hAnsi="Arial"/>
          <w:b/>
          <w:bCs/>
          <w:color w:val="2D4A9A"/>
          <w:sz w:val="36"/>
          <w:szCs w:val="36"/>
        </w:rPr>
        <w:t xml:space="preserve">6. Layer 4, Real-Time Monitoring and Security</w:t>
      </w:r>
    </w:p>
    <w:p>
      <w:pPr>
        <w:spacing w:after="160" w:line="320"/>
        <w:jc w:val="both"/>
      </w:pPr>
      <w:r>
        <w:rPr>
          <w:rFonts w:ascii="Arial" w:cs="Arial" w:eastAsia="Arial" w:hAnsi="Arial"/>
          <w:color w:val="1F2937"/>
          <w:sz w:val="22"/>
          <w:szCs w:val="22"/>
        </w:rPr>
        <w:t xml:space="preserve">Above analytics sits the real-time monitoring and security layer, the systems that watch for threats, simulate transactions before they execute, and trigger automated responses when something goes wrong. This layer has hardened dramatically through 2025–2026 in response to the year's $750M+ in DeFi losses, and it is now indistinguishable from operational infrastructure for any protocol or institution at scale.</w:t>
      </w:r>
    </w:p>
    <w:p>
      <w:pPr>
        <w:pStyle w:val="Heading2"/>
        <w:spacing w:after="160" w:before="320"/>
      </w:pPr>
      <w:r>
        <w:rPr>
          <w:rFonts w:ascii="Arial" w:cs="Arial" w:eastAsia="Arial" w:hAnsi="Arial"/>
          <w:b/>
          <w:bCs/>
          <w:color w:val="2D4A9A"/>
          <w:sz w:val="28"/>
          <w:szCs w:val="28"/>
        </w:rPr>
        <w:t xml:space="preserve">6.1 The vendor landscape</w:t>
      </w:r>
    </w:p>
    <w:p>
      <w:pPr>
        <w:spacing w:after="160" w:line="320"/>
        <w:jc w:val="both"/>
      </w:pPr>
      <w:r>
        <w:rPr>
          <w:rFonts w:ascii="Arial" w:cs="Arial" w:eastAsia="Arial" w:hAnsi="Arial"/>
          <w:color w:val="1F2937"/>
          <w:sz w:val="22"/>
          <w:szCs w:val="22"/>
        </w:rPr>
        <w:t xml:space="preserve">Hypernative is the dominant pre-transaction security platform, monitoring 75+ blockchains in real time, used by over 250 institutional clients including Circle, Ethena, Galaxy Digital, OKX and Wintermute, and securing more than $100 billion in digital assets across its customer base. Hypernative's machine-learning models detect over 300 risk types with a stated 99.8% detection accuracy and 0.001% false-positive rate; its Transaction Guard product is the first platform to do pre-transaction simulation with automated approve/deny/escalate verdicts integrated directly into wallet workflows. The April 2026 partnership with TRM Labs adds compliance intelligence to the same control plane. Integrations now include Safe (multisig), Utila (institutional MPC), Fordefi (institutional wallets), Caldera (rollup-as-a-service) and Astar Network (Japan enterprise). Hypernative's automated emergency pause caught the $128M Balancer V2 exploit in November 2025.</w:t>
      </w:r>
    </w:p>
    <w:p>
      <w:pPr>
        <w:spacing w:after="160" w:line="320"/>
        <w:jc w:val="both"/>
      </w:pPr>
      <w:r>
        <w:rPr>
          <w:rFonts w:ascii="Arial" w:cs="Arial" w:eastAsia="Arial" w:hAnsi="Arial"/>
          <w:color w:val="1F2937"/>
          <w:sz w:val="22"/>
          <w:szCs w:val="22"/>
        </w:rPr>
        <w:t xml:space="preserve">Forta is the OG decentralised threat-detection network, with hundreds of independent bots monitoring on-chain activity across major chains and a public alert feed that protocols and applications can subscribe to. Forta's strength is in distributed monitoring; its commercial product is more developer-tool than enterprise-suite.</w:t>
      </w:r>
    </w:p>
    <w:p>
      <w:pPr>
        <w:spacing w:after="160" w:line="320"/>
        <w:jc w:val="both"/>
      </w:pPr>
      <w:r>
        <w:rPr>
          <w:rFonts w:ascii="Arial" w:cs="Arial" w:eastAsia="Arial" w:hAnsi="Arial"/>
          <w:color w:val="1F2937"/>
          <w:sz w:val="22"/>
          <w:szCs w:val="22"/>
        </w:rPr>
        <w:t xml:space="preserve">Tenderly is the most widely used transaction simulation and debugging platform, with comprehensive support for transaction trace analysis, smart-contract debugging, gas profiling and on-chain alerting. For development and operations teams, Tenderly is the de facto standard.</w:t>
      </w:r>
    </w:p>
    <w:p>
      <w:pPr>
        <w:spacing w:after="160" w:line="320"/>
        <w:jc w:val="both"/>
      </w:pPr>
      <w:r>
        <w:rPr>
          <w:rFonts w:ascii="Arial" w:cs="Arial" w:eastAsia="Arial" w:hAnsi="Arial"/>
          <w:color w:val="1F2937"/>
          <w:sz w:val="22"/>
          <w:szCs w:val="22"/>
        </w:rPr>
        <w:t xml:space="preserve">OpenZeppelin Defender provides smart-contract operations, including automated transaction relaying, multi-sig administration, monitoring and incident response. The platform integrates with OpenZeppelin's audit and library work, and is the natural choice for teams already using OpenZeppelin contracts.</w:t>
      </w:r>
    </w:p>
    <w:p>
      <w:pPr>
        <w:spacing w:after="160" w:line="320"/>
        <w:jc w:val="both"/>
      </w:pPr>
      <w:r>
        <w:rPr>
          <w:rFonts w:ascii="Arial" w:cs="Arial" w:eastAsia="Arial" w:hAnsi="Arial"/>
          <w:color w:val="1F2937"/>
          <w:sz w:val="22"/>
          <w:szCs w:val="22"/>
        </w:rPr>
        <w:t xml:space="preserve">Chaos Labs provides simulation, stress testing, and risk parameter optimisation for DeFi protocols, used by Aave, GMX, dYdX and others to set risk parameters. It sits in a slightly different category than the others but is an essential complement to monitoring for any protocol with parameterisable risk.</w:t>
      </w:r>
    </w:p>
    <w:p>
      <w:pPr>
        <w:pStyle w:val="Heading2"/>
        <w:spacing w:after="160" w:before="320"/>
      </w:pPr>
      <w:r>
        <w:rPr>
          <w:rFonts w:ascii="Arial" w:cs="Arial" w:eastAsia="Arial" w:hAnsi="Arial"/>
          <w:b/>
          <w:bCs/>
          <w:color w:val="2D4A9A"/>
          <w:sz w:val="28"/>
          <w:szCs w:val="28"/>
        </w:rPr>
        <w:t xml:space="preserve">6.2 The architectural pattern</w:t>
      </w:r>
    </w:p>
    <w:p>
      <w:pPr>
        <w:spacing w:after="160" w:line="320"/>
        <w:jc w:val="both"/>
      </w:pPr>
      <w:r>
        <w:rPr>
          <w:rFonts w:ascii="Arial" w:cs="Arial" w:eastAsia="Arial" w:hAnsi="Arial"/>
          <w:color w:val="1F2937"/>
          <w:sz w:val="22"/>
          <w:szCs w:val="22"/>
        </w:rPr>
        <w:t xml:space="preserve">A 2026-grade institutional Web3 architecture treats real-time monitoring as integral to execution, not as a downstream alerting layer. Transactions are simulated before they sign; risk scores are returned to the policy engine; safe transactions auto-approve, risky ones halt for review, and active threats trigger automated emergency responses (pausing contracts, unwinding positions, withdrawing to cold storage). The pattern is best illustrated by the Hypernative-Utila integration, where Utila sends every initiated transaction to Hypernative for real-time analysis before execution; Hypernative returns a verdict; Utila's policy engine acts. Routine activity auto-approves with full audit trail; high-risk activity halts; active exploits trigger pre-configured emergency responses.</w:t>
      </w:r>
    </w:p>
    <w:p>
      <w:pPr>
        <w:spacing w:after="160" w:line="320"/>
        <w:jc w:val="both"/>
      </w:pPr>
      <w:r>
        <w:rPr>
          <w:rFonts w:ascii="Arial" w:cs="Arial" w:eastAsia="Arial" w:hAnsi="Arial"/>
          <w:color w:val="1F2937"/>
          <w:sz w:val="22"/>
          <w:szCs w:val="22"/>
        </w:rPr>
        <w:t xml:space="preserve">The lesson from 2025–2026 is that pre-transaction monitoring is materially more valuable than post-transaction alerting. Halborn's analysis of 2024–2025 hacks shows that protocols with continuous monitoring and automated pause guardians prevented or contained losses an order of magnitude better than those relying on post-incident response. Bug bounties remain valuable; they are not a substitute for runtime monitoring.</w:t>
      </w:r>
    </w:p>
    <w:p>
      <w:pPr>
        <w:pBdr>
          <w:left w:val="single" w:color="35BEF0" w:sz="24" w:space="8"/>
        </w:pBdr>
        <w:shd w:fill="F1F5FF" w:val="clear"/>
        <w:spacing w:after="240" w:before="240" w:line="320"/>
        <w:ind w:left="360" w:right="240"/>
        <w:jc w:val="left"/>
      </w:pPr>
      <w:r>
        <w:rPr>
          <w:rFonts w:ascii="Arial" w:cs="Arial" w:eastAsia="Arial" w:hAnsi="Arial"/>
          <w:i/>
          <w:iCs/>
          <w:color w:val="1F2937"/>
          <w:sz w:val="22"/>
          <w:szCs w:val="22"/>
        </w:rPr>
        <w:t xml:space="preserve">Audit-then-deploy was the 2022 doctrine. Monitor, simulate, gate and pause continuously: that is the 2026 doctrine. Both layers are needed; the second is where most projects still under-invest.</w:t>
      </w:r>
    </w:p>
    <w:p>
      <w:r>
        <w:br w:type="page"/>
      </w:r>
    </w:p>
    <w:p>
      <w:pPr>
        <w:pStyle w:val="Heading1"/>
        <w:spacing w:after="240" w:before="480"/>
      </w:pPr>
      <w:r>
        <w:rPr>
          <w:rFonts w:ascii="Arial" w:cs="Arial" w:eastAsia="Arial" w:hAnsi="Arial"/>
          <w:b/>
          <w:bCs/>
          <w:color w:val="2D4A9A"/>
          <w:sz w:val="36"/>
          <w:szCs w:val="36"/>
        </w:rPr>
        <w:t xml:space="preserve">7. Layer 5, Compliance and Reporting</w:t>
      </w:r>
    </w:p>
    <w:p>
      <w:pPr>
        <w:spacing w:after="160" w:line="320"/>
        <w:jc w:val="both"/>
      </w:pPr>
      <w:r>
        <w:rPr>
          <w:rFonts w:ascii="Arial" w:cs="Arial" w:eastAsia="Arial" w:hAnsi="Arial"/>
          <w:color w:val="1F2937"/>
          <w:sz w:val="22"/>
          <w:szCs w:val="22"/>
        </w:rPr>
        <w:t xml:space="preserve">The fifth layer is the regulatory-facing one. In 2026, with MiCA fully enforced, the GENIUS Act in implementation, the FATF Travel Rule revised in June 2025, and the EUDI Wallet mandate live by 31 December 2026, compliance reporting is no longer optional, no longer downstream, and no longer something a small specialist team can absorb. It is integral to the architecture.</w:t>
      </w:r>
    </w:p>
    <w:p>
      <w:pPr>
        <w:pStyle w:val="Heading2"/>
        <w:spacing w:after="160" w:before="320"/>
      </w:pPr>
      <w:r>
        <w:rPr>
          <w:rFonts w:ascii="Arial" w:cs="Arial" w:eastAsia="Arial" w:hAnsi="Arial"/>
          <w:b/>
          <w:bCs/>
          <w:color w:val="2D4A9A"/>
          <w:sz w:val="28"/>
          <w:szCs w:val="28"/>
        </w:rPr>
        <w:t xml:space="preserve">7.1 The Big Three</w:t>
      </w:r>
    </w:p>
    <w:p>
      <w:pPr>
        <w:spacing w:after="160" w:line="320"/>
        <w:jc w:val="both"/>
      </w:pPr>
      <w:r>
        <w:rPr>
          <w:rFonts w:ascii="Arial" w:cs="Arial" w:eastAsia="Arial" w:hAnsi="Arial"/>
          <w:color w:val="1F2937"/>
          <w:sz w:val="22"/>
          <w:szCs w:val="22"/>
        </w:rPr>
        <w:t xml:space="preserve">Three vendors dominate institutional crypto compliance: Chainalysis, TRM Labs and Elliptic. Each has a slightly different centre of gravity.</w:t>
      </w:r>
    </w:p>
    <w:p>
      <w:pPr>
        <w:spacing w:after="160" w:line="320"/>
        <w:jc w:val="both"/>
      </w:pPr>
      <w:r>
        <w:rPr>
          <w:rFonts w:ascii="Arial" w:cs="Arial" w:eastAsia="Arial" w:hAnsi="Arial"/>
          <w:color w:val="1F2937"/>
          <w:sz w:val="22"/>
          <w:szCs w:val="22"/>
        </w:rPr>
        <w:t xml:space="preserve">Chainalysis is the largest and the deepest-integrated with law enforcement and government agencies. Its platform tracks over $24 trillion in cumulative value, has helped agencies recover or freeze $34 billion in illicit cryptocurrency, and provides the Reactor investigative suite, KYT (Know Your Transaction) continuous monitoring, and Address Screening for pre-transaction risk gating. For regulated VASPs and traditional financial institutions where the depth of attribution data and the credibility with regulators are paramount, Chainalysis remains the default.</w:t>
      </w:r>
    </w:p>
    <w:p>
      <w:pPr>
        <w:spacing w:after="160" w:line="320"/>
        <w:jc w:val="both"/>
      </w:pPr>
      <w:r>
        <w:rPr>
          <w:rFonts w:ascii="Arial" w:cs="Arial" w:eastAsia="Arial" w:hAnsi="Arial"/>
          <w:color w:val="1F2937"/>
          <w:sz w:val="22"/>
          <w:szCs w:val="22"/>
        </w:rPr>
        <w:t xml:space="preserve">Elliptic is the strongest pure-play on cross-chain and high-volume compliance, with a database of 2 billion labelled addresses, coverage of 1,100+ blockchain networks, tracking of 1,130+ cross-chain bridges, and analysis of more than 100 billion transactions. Its Lens product unifies transaction monitoring and wallet screening with vendor-cited 99% alert resolution under five minutes. Elliptic is favoured by European fintechs (Revolut, Coinbase) and is particularly strong on MiCA-aligned operations.</w:t>
      </w:r>
    </w:p>
    <w:p>
      <w:pPr>
        <w:spacing w:after="160" w:line="320"/>
        <w:jc w:val="both"/>
      </w:pPr>
      <w:r>
        <w:rPr>
          <w:rFonts w:ascii="Arial" w:cs="Arial" w:eastAsia="Arial" w:hAnsi="Arial"/>
          <w:color w:val="1F2937"/>
          <w:sz w:val="22"/>
          <w:szCs w:val="22"/>
        </w:rPr>
        <w:t xml:space="preserve">TRM Labs differentiates on real-time API performance and machine-learning-native risk scoring. Coverage spans 45+ blockchains and 200 million+ digital assets, with TRM Veriscope addressing the Travel Rule and integrations into Circle, Solana, and increasingly the modular blockchain stack. The April 2026 partnership with Hypernative pairs TRM's intelligence with Hypernative's enforcement layer, making TRM-plus-Hypernative the most operationally capable real-time compliance stack as of mid-2026.</w:t>
      </w:r>
    </w:p>
    <w:p>
      <w:pPr>
        <w:pStyle w:val="Heading2"/>
        <w:spacing w:after="160" w:before="320"/>
      </w:pPr>
      <w:r>
        <w:rPr>
          <w:rFonts w:ascii="Arial" w:cs="Arial" w:eastAsia="Arial" w:hAnsi="Arial"/>
          <w:b/>
          <w:bCs/>
          <w:color w:val="2D4A9A"/>
          <w:sz w:val="28"/>
          <w:szCs w:val="28"/>
        </w:rPr>
        <w:t xml:space="preserve">7.2 The Travel Rule layer</w:t>
      </w:r>
    </w:p>
    <w:p>
      <w:pPr>
        <w:spacing w:after="160" w:line="320"/>
        <w:jc w:val="both"/>
      </w:pPr>
      <w:r>
        <w:rPr>
          <w:rFonts w:ascii="Arial" w:cs="Arial" w:eastAsia="Arial" w:hAnsi="Arial"/>
          <w:color w:val="1F2937"/>
          <w:sz w:val="22"/>
          <w:szCs w:val="22"/>
        </w:rPr>
        <w:t xml:space="preserve">Notabene is the specialist Travel Rule platform, the FATF Recommendation 16 obligation requiring originator and beneficiary information to accompany cross-border crypto transfers above the relevant threshold. Under the EU Transfer of Funds Regulation (live since 30 December 2024) and the FATF June 2025 update, Travel Rule compliance is now standard for any VASP touching cross-border flows; under South Korea's KoFIU rules, the threshold is zero. Notabene operates the largest counterparty network and is the de facto standard for VASP-to-VASP information exchange. Most of the Big Three (Chainalysis, TRM Labs via Veriscope, Elliptic) also offer Travel Rule modules; the buy decision often comes down to which compliance stack is already in place.</w:t>
      </w:r>
    </w:p>
    <w:p>
      <w:pPr>
        <w:pStyle w:val="Heading2"/>
        <w:spacing w:after="160" w:before="320"/>
      </w:pPr>
      <w:r>
        <w:rPr>
          <w:rFonts w:ascii="Arial" w:cs="Arial" w:eastAsia="Arial" w:hAnsi="Arial"/>
          <w:b/>
          <w:bCs/>
          <w:color w:val="2D4A9A"/>
          <w:sz w:val="28"/>
          <w:szCs w:val="28"/>
        </w:rPr>
        <w:t xml:space="preserve">7.3 Mid-market and DeFi-native alternatives</w:t>
      </w:r>
    </w:p>
    <w:p>
      <w:pPr>
        <w:spacing w:after="160" w:line="320"/>
        <w:jc w:val="both"/>
      </w:pPr>
      <w:r>
        <w:rPr>
          <w:rFonts w:ascii="Arial" w:cs="Arial" w:eastAsia="Arial" w:hAnsi="Arial"/>
          <w:color w:val="1F2937"/>
          <w:sz w:val="22"/>
          <w:szCs w:val="22"/>
        </w:rPr>
        <w:t xml:space="preserve">Beneath the Big Three is a meaningful mid-market: Scorechain, Merkle Science, Crystal, Coinfirm and others provide compliant-grade KYT and screening at lower price points. For DeFi-native operations and pure-protocol deployments, the FATF and MiCA framing of who counts as a regulated entity is genuinely contested, and a smaller compliance footprint may be defensible. ChainAware and similar DeFi-focused platforms provide a roughly 70–75% MiCA-applicable compliance stack at a fraction of CeFi-targeted pricing, relevant for protocols that do not maintain centralised counterparty relationships.</w:t>
      </w:r>
    </w:p>
    <w:p>
      <w:pPr>
        <w:pStyle w:val="Heading2"/>
        <w:spacing w:after="160" w:before="320"/>
      </w:pPr>
      <w:r>
        <w:rPr>
          <w:rFonts w:ascii="Arial" w:cs="Arial" w:eastAsia="Arial" w:hAnsi="Arial"/>
          <w:b/>
          <w:bCs/>
          <w:color w:val="2D4A9A"/>
          <w:sz w:val="28"/>
          <w:szCs w:val="28"/>
        </w:rPr>
        <w:t xml:space="preserve">7.4 The reporting and audit layer</w:t>
      </w:r>
    </w:p>
    <w:p>
      <w:pPr>
        <w:spacing w:after="160" w:line="320"/>
        <w:jc w:val="both"/>
      </w:pPr>
      <w:r>
        <w:rPr>
          <w:rFonts w:ascii="Arial" w:cs="Arial" w:eastAsia="Arial" w:hAnsi="Arial"/>
          <w:color w:val="1F2937"/>
          <w:sz w:val="22"/>
          <w:szCs w:val="22"/>
        </w:rPr>
        <w:t xml:space="preserve">Above transaction-level compliance sits regulatory reporting: monthly stablecoin reserve attestations under the GENIUS Act; MiCA whitepaper updates; Suspicious Activity Reports (SARs) filings; Transfer of Funds Regulation reports; and the audit-trail evidence that regulators expect when they ask. This is where vendor compliance platforms intersect with the broader enterprise data platform, every action, every decision, every score must produce an auditable record that ties back to a known wallet, a known counterparty, a known policy. The cleanest 2026 architectures push compliance signals (wallet risk scores, sanctions hits, Travel Rule attestations, KYT alerts) into the same warehouse that holds business analytics, so that compliance reporting and business reporting share a single source of truth.</w:t>
      </w:r>
    </w:p>
    <w:p>
      <w:pPr>
        <w:pStyle w:val="Heading1"/>
        <w:spacing w:after="240" w:before="480"/>
      </w:pPr>
      <w:r>
        <w:rPr>
          <w:rFonts w:ascii="Arial" w:cs="Arial" w:eastAsia="Arial" w:hAnsi="Arial"/>
          <w:b/>
          <w:bCs/>
          <w:color w:val="2D4A9A"/>
          <w:sz w:val="36"/>
          <w:szCs w:val="36"/>
        </w:rPr>
        <w:t xml:space="preserve">8. Cross-Chain Observability, The Unsolved Problem</w:t>
      </w:r>
    </w:p>
    <w:p>
      <w:pPr>
        <w:spacing w:after="160" w:line="320"/>
        <w:jc w:val="both"/>
      </w:pPr>
      <w:r>
        <w:rPr>
          <w:rFonts w:ascii="Arial" w:cs="Arial" w:eastAsia="Arial" w:hAnsi="Arial"/>
          <w:color w:val="1F2937"/>
          <w:sz w:val="22"/>
          <w:szCs w:val="22"/>
        </w:rPr>
        <w:t xml:space="preserve">If there is one layer that 2026 has not yet solved, it is cross-chain observability, the ability to view a single business activity that spans multiple chains as one coherent unit. A user bridges funds from Ethereum to Arbitrum, swaps on Arbitrum, bridges to Base, deposits to a yield protocol on Base, and earns yield denominated in a stablecoin minted on Solana that flows through Wormhole CCTP. To the business, this is one transaction. To the data infrastructure, it is six events on five chains, with bridge intermediation that breaks attribution.</w:t>
      </w:r>
    </w:p>
    <w:p>
      <w:pPr>
        <w:spacing w:after="160" w:line="320"/>
        <w:jc w:val="both"/>
      </w:pPr>
      <w:r>
        <w:rPr>
          <w:rFonts w:ascii="Arial" w:cs="Arial" w:eastAsia="Arial" w:hAnsi="Arial"/>
          <w:color w:val="1F2937"/>
          <w:sz w:val="22"/>
          <w:szCs w:val="22"/>
        </w:rPr>
        <w:t xml:space="preserve">The vendor responses are partial. Allium ships explicit `cross_chain_transfers` tables stitching CCTP, Hop, Across, Stargate and a handful of other bridges. Chainalysis and Elliptic both track major bridges, with Elliptic explicitly indexing 1,130+ cross-chain bridges. Hypernative monitors across 70+ chains in real time. But the data model gap remains: there is no industry-standard schema for 'this end-to-end activity is a single business event,' and bridges that have not been explicitly modelled by the vendor are blind spots.</w:t>
      </w:r>
    </w:p>
    <w:p>
      <w:pPr>
        <w:spacing w:after="160" w:line="320"/>
        <w:jc w:val="both"/>
      </w:pPr>
      <w:r>
        <w:rPr>
          <w:rFonts w:ascii="Arial" w:cs="Arial" w:eastAsia="Arial" w:hAnsi="Arial"/>
          <w:color w:val="1F2937"/>
          <w:sz w:val="22"/>
          <w:szCs w:val="22"/>
        </w:rPr>
        <w:t xml:space="preserve">The 2025–2026 chain-abstraction layer (ERC-7683 cross-chain intents, ERC-4337 + EIP-7702 account abstraction, intent solver networks like Across and CowSwap) is making the problem worse before it makes it better. Intent-based execution can route a single user intent through multiple chains via solvers, which break the assumption that transactions are linear and chain-local. Observability vendors are racing to model this, but the standard does not yet exist.</w:t>
      </w:r>
    </w:p>
    <w:p>
      <w:pPr>
        <w:spacing w:after="160" w:line="320"/>
        <w:jc w:val="both"/>
      </w:pPr>
      <w:r>
        <w:rPr>
          <w:rFonts w:ascii="Arial" w:cs="Arial" w:eastAsia="Arial" w:hAnsi="Arial"/>
          <w:color w:val="1F2937"/>
          <w:sz w:val="22"/>
          <w:szCs w:val="22"/>
        </w:rPr>
        <w:t xml:space="preserve">For enterprise architects, the practical implication is that cross-chain attribution remains partly a custom engineering problem in 2026. Mature deployments build a thin chain-abstraction observability layer in-house, typically a Postgres schema with custom logic per major bridge, sitting on top of vendor data. We expect the gap to close materially through 2027, with at least one major vendor announcing a true cross-chain observability product in that window.</w:t>
      </w:r>
    </w:p>
    <w:p>
      <w:pPr>
        <w:pStyle w:val="Heading1"/>
        <w:spacing w:after="240" w:before="480"/>
      </w:pPr>
      <w:r>
        <w:rPr>
          <w:rFonts w:ascii="Arial" w:cs="Arial" w:eastAsia="Arial" w:hAnsi="Arial"/>
          <w:b/>
          <w:bCs/>
          <w:color w:val="2D4A9A"/>
          <w:sz w:val="36"/>
          <w:szCs w:val="36"/>
        </w:rPr>
        <w:t xml:space="preserve">9. AI-Native Analytics</w:t>
      </w:r>
    </w:p>
    <w:p>
      <w:pPr>
        <w:spacing w:after="160" w:line="320"/>
        <w:jc w:val="both"/>
      </w:pPr>
      <w:r>
        <w:rPr>
          <w:rFonts w:ascii="Arial" w:cs="Arial" w:eastAsia="Arial" w:hAnsi="Arial"/>
          <w:color w:val="1F2937"/>
          <w:sz w:val="22"/>
          <w:szCs w:val="22"/>
        </w:rPr>
        <w:t xml:space="preserve">The fastest-evolving layer of the 2026 stack is the AI-native interface above SQL. Dune's AI Agents (announced at EthCC 2026), Allium AI ('Allium's entire historical database with plain English'), and a wave of vertical AI products (Phala-secured agents for confidential inference, Bittensor subnets for analytics) have moved natural-language analytics from demo to production. The pattern is consistent: an LLM grounded on a structured data warehouse with explicit table schemas and a sandboxed SQL execution environment can answer the long tail of questions that previously required an analyst.</w:t>
      </w:r>
    </w:p>
    <w:p>
      <w:pPr>
        <w:spacing w:after="160" w:line="320"/>
        <w:jc w:val="both"/>
      </w:pPr>
      <w:r>
        <w:rPr>
          <w:rFonts w:ascii="Arial" w:cs="Arial" w:eastAsia="Arial" w:hAnsi="Arial"/>
          <w:color w:val="1F2937"/>
          <w:sz w:val="22"/>
          <w:szCs w:val="22"/>
        </w:rPr>
        <w:t xml:space="preserve">For enterprise teams, the practical value is in two places. First, in compliance and risk workflows, where the question 'has this counterparty interacted with any sanctioned entity in the last twelve months across any chain' previously required hours of analyst work and now resolves in minutes. Second, in executive reporting, where natural-language questions over the corporate data warehouse let non-technical leaders explore the data themselves.</w:t>
      </w:r>
    </w:p>
    <w:p>
      <w:pPr>
        <w:spacing w:after="160" w:line="320"/>
        <w:jc w:val="both"/>
      </w:pPr>
      <w:r>
        <w:rPr>
          <w:rFonts w:ascii="Arial" w:cs="Arial" w:eastAsia="Arial" w:hAnsi="Arial"/>
          <w:color w:val="1F2937"/>
          <w:sz w:val="22"/>
          <w:szCs w:val="22"/>
        </w:rPr>
        <w:t xml:space="preserve">The architectural caveats are familiar: AI-generated SQL must be sandboxed, audited and rate-limited; hallucinated analyses must be detectable and traceable; governance over what data the AI can see is non-negotiable. The integration of verifiable inference primitives (zkML, EigenAI's optimistic verification, TEE-secured inference under Phala) into compliance workflows is at an earlier stage but, in our view, will be a 2027 procurement category in its own right.</w:t>
      </w:r>
    </w:p>
    <w:p>
      <w:pPr>
        <w:pStyle w:val="Heading1"/>
        <w:spacing w:after="240" w:before="480"/>
      </w:pPr>
      <w:r>
        <w:rPr>
          <w:rFonts w:ascii="Arial" w:cs="Arial" w:eastAsia="Arial" w:hAnsi="Arial"/>
          <w:b/>
          <w:bCs/>
          <w:color w:val="2D4A9A"/>
          <w:sz w:val="36"/>
          <w:szCs w:val="36"/>
        </w:rPr>
        <w:t xml:space="preserve">10. Reference Architecture and the Build-vs-Buy Decision</w:t>
      </w:r>
    </w:p>
    <w:p>
      <w:pPr>
        <w:spacing w:after="160" w:line="320"/>
        <w:jc w:val="both"/>
      </w:pPr>
      <w:r>
        <w:rPr>
          <w:rFonts w:ascii="Arial" w:cs="Arial" w:eastAsia="Arial" w:hAnsi="Arial"/>
          <w:color w:val="1F2937"/>
          <w:sz w:val="22"/>
          <w:szCs w:val="22"/>
        </w:rPr>
        <w:t xml:space="preserve">This section composes the foregoing layers into a single reference architecture for an enterprise Web3 data platform, then provides a concrete build-vs-buy guide for each layer.</w:t>
      </w:r>
    </w:p>
    <w:p>
      <w:pPr>
        <w:pStyle w:val="Heading2"/>
        <w:spacing w:after="160" w:before="320"/>
      </w:pPr>
      <w:r>
        <w:rPr>
          <w:rFonts w:ascii="Arial" w:cs="Arial" w:eastAsia="Arial" w:hAnsi="Arial"/>
          <w:b/>
          <w:bCs/>
          <w:color w:val="2D4A9A"/>
          <w:sz w:val="28"/>
          <w:szCs w:val="28"/>
        </w:rPr>
        <w:t xml:space="preserve">10.1 A reference architecture for May 2026</w:t>
      </w:r>
    </w:p>
    <w:p>
      <w:pPr>
        <w:spacing w:after="160" w:line="320"/>
        <w:jc w:val="both"/>
      </w:pPr>
      <w:r>
        <w:rPr>
          <w:rFonts w:ascii="Arial" w:cs="Arial" w:eastAsia="Arial" w:hAnsi="Arial"/>
          <w:color w:val="1F2937"/>
          <w:sz w:val="22"/>
          <w:szCs w:val="22"/>
        </w:rPr>
        <w:t xml:space="preserve">A 2026-grade enterprise Web3 data platform looks roughly as follows. At the bottom, ingest from at least one Tier-1 RPC provider (Alchemy, Infura, QuickNode) with a secondary failover, plus archival data via Subsquid or Envio for backfill. At the indexing layer, custom subgraphs on Goldsky or The Graph Network for application-specific contracts, plus an Allium warehouse drop into the corporate Snowflake or BigQuery for broad chain coverage. At the analytics layer, Allium-driven dashboards in the existing BI stack (Looker, Hex, Tableau) for production reporting; Dune for ad-hoc analyst queries and public-facing dashboards; Token Terminal for executive comparative reporting. At the monitoring layer, Hypernative for pre-transaction security with TRM Labs intelligence; Tenderly for development-side simulation; OpenZeppelin Defender for smart-contract operations; Chaos Labs for risk parameter management on any DeFi-style components. At the compliance layer, one of Chainalysis, Elliptic or TRM Labs for transaction monitoring (driven by the regulatory perimeter and existing institutional relationships); Notabene for Travel Rule; selected reports flowing into the same warehouse as business analytics.</w:t>
      </w:r>
    </w:p>
    <w:p>
      <w:pPr>
        <w:spacing w:after="160" w:line="320"/>
        <w:jc w:val="both"/>
      </w:pPr>
      <w:r>
        <w:rPr>
          <w:rFonts w:ascii="Arial" w:cs="Arial" w:eastAsia="Arial" w:hAnsi="Arial"/>
          <w:color w:val="1F2937"/>
          <w:sz w:val="22"/>
          <w:szCs w:val="22"/>
        </w:rPr>
        <w:t xml:space="preserve">Three architectural choices distinguish good 2026 platforms from average ones. First, on-chain data lives in the same warehouse as off-chain data, governed by the same data team. Second, monitoring is pre-transaction and integrated into execution, not post-transaction and integrated into Slack. Third, compliance signals are first-class data citizens, joinable with business data, queryable by the same analysts, auditable on the same retention policy as financial records.</w:t>
      </w:r>
    </w:p>
    <w:p>
      <w:pPr>
        <w:pStyle w:val="Heading2"/>
        <w:spacing w:after="160" w:before="320"/>
      </w:pPr>
      <w:r>
        <w:rPr>
          <w:rFonts w:ascii="Arial" w:cs="Arial" w:eastAsia="Arial" w:hAnsi="Arial"/>
          <w:b/>
          <w:bCs/>
          <w:color w:val="2D4A9A"/>
          <w:sz w:val="28"/>
          <w:szCs w:val="28"/>
        </w:rPr>
        <w:t xml:space="preserve">10.2 Build-vs-buy by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Layer</w:t>
            </w:r>
          </w:p>
        </w:tc>
        <w:tc>
          <w:tcPr>
            <w:tcW w:type="dxa" w:w="358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Build it yourself when…</w:t>
            </w:r>
          </w:p>
        </w:tc>
        <w:tc>
          <w:tcPr>
            <w:tcW w:type="dxa" w:w="3580"/>
            <w:tcBorders>
              <w:top w:val="single" w:color="CCCCCC" w:sz="1"/>
              <w:left w:val="single" w:color="CCCCCC" w:sz="1"/>
              <w:bottom w:val="single" w:color="CCCCCC" w:sz="1"/>
              <w:right w:val="single" w:color="CCCCCC" w:sz="1"/>
            </w:tcBorders>
            <w:shd w:fill="2D4A9A" w:val="clear"/>
            <w:tcMar>
              <w:top w:type="dxa" w:w="100"/>
              <w:left w:type="dxa" w:w="120"/>
              <w:bottom w:type="dxa" w:w="100"/>
              <w:right w:type="dxa" w:w="120"/>
            </w:tcMar>
          </w:tcPr>
          <w:p>
            <w:r>
              <w:rPr>
                <w:rFonts w:ascii="Arial" w:cs="Arial" w:eastAsia="Arial" w:hAnsi="Arial"/>
                <w:b/>
                <w:bCs/>
                <w:color w:val="FFFFFF"/>
                <w:sz w:val="20"/>
                <w:szCs w:val="20"/>
              </w:rPr>
              <w:t xml:space="preserve">Buy it when…</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1. Ingest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Extreme throughput, regulatory data residency, validator strategy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Default, every other case</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2. Indexing (custom subgraphs)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Application-specific contracts; volume justifies engineering</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Generic chain coverage; team velocity over fine control</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2. Indexing (data API)</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Almost never</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Default for breadth-of-chain or breadth-of-protocol coverage</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3. Analytics warehouse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Existing data team has spare capacity and clear use case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Default, Allium pattern is materially cheaper than rebuilding</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3. Curated BI dashboards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Public-facing positioning matters; community traction goal</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Internal-only reporting; integrate with existing BI</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4. Monitoring &amp; security</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Almost never</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Always, this is not a layer to build</w:t>
            </w:r>
          </w:p>
        </w:tc>
      </w:tr>
      <w:tr>
        <w:tc>
          <w:tcPr>
            <w:tcW w:type="dxa" w:w="2200"/>
            <w:tcBorders>
              <w:top w:val="single" w:color="CCCCCC" w:sz="1"/>
              <w:left w:val="single" w:color="CCCCCC" w:sz="1"/>
              <w:bottom w:val="single" w:color="CCCCCC" w:sz="1"/>
              <w:right w:val="single" w:color="CCCCCC" w:sz="1"/>
            </w:tcBorders>
            <w:shd w:fill="F5F7FB" w:val="clear"/>
            <w:tcMar>
              <w:top w:type="dxa" w:w="80"/>
              <w:left w:type="dxa" w:w="120"/>
              <w:bottom w:type="dxa" w:w="80"/>
              <w:right w:type="dxa" w:w="120"/>
            </w:tcMar>
          </w:tcPr>
          <w:p>
            <w:pPr>
              <w:spacing w:line="280"/>
            </w:pPr>
            <w:r>
              <w:rPr>
                <w:rFonts w:ascii="Arial" w:cs="Arial" w:eastAsia="Arial" w:hAnsi="Arial"/>
                <w:b/>
                <w:bCs/>
                <w:color w:val="1F2937"/>
                <w:sz w:val="18"/>
                <w:szCs w:val="18"/>
              </w:rPr>
              <w:t xml:space="preserve">5. Compliance</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Almost never</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line="280"/>
            </w:pPr>
            <w:r>
              <w:rPr>
                <w:rFonts w:ascii="Arial" w:cs="Arial" w:eastAsia="Arial" w:hAnsi="Arial"/>
                <w:b w:val="false"/>
                <w:bCs w:val="false"/>
                <w:color w:val="1F2937"/>
                <w:sz w:val="18"/>
                <w:szCs w:val="18"/>
              </w:rPr>
              <w:t xml:space="preserve">Always, regulatory credibility requires vendor footprint</w:t>
            </w:r>
          </w:p>
        </w:tc>
      </w:tr>
    </w:tbl>
    <w:p>
      <w:pPr>
        <w:spacing w:after="160" w:line="320"/>
        <w:jc w:val="both"/>
      </w:pPr>
      <w:r>
        <w:rPr>
          <w:rFonts w:ascii="Arial" w:cs="Arial" w:eastAsia="Arial" w:hAnsi="Arial"/>
          <w:color w:val="1F2937"/>
          <w:sz w:val="22"/>
          <w:szCs w:val="22"/>
        </w:rPr>
        <w:t xml:space="preserve">The pattern across the table is consistent. Application-specific layers (custom indexers for a protocol's own contracts, custom decoded models for a protocol's own assets) belong in-house. Horizontal infrastructure layers (ingest, broad analytics warehouse, monitoring, compliance) belong with specialist vendors who have spent years building moats that will not be matched by an internal data engineering team in any reasonable budget.</w:t>
      </w:r>
    </w:p>
    <w:p>
      <w:pPr>
        <w:pStyle w:val="Heading2"/>
        <w:spacing w:after="160" w:before="320"/>
      </w:pPr>
      <w:r>
        <w:rPr>
          <w:rFonts w:ascii="Arial" w:cs="Arial" w:eastAsia="Arial" w:hAnsi="Arial"/>
          <w:b/>
          <w:bCs/>
          <w:color w:val="2D4A9A"/>
          <w:sz w:val="28"/>
          <w:szCs w:val="28"/>
        </w:rPr>
        <w:t xml:space="preserve">10.3 The integration layer is where MMXX Dynamics adds value</w:t>
      </w:r>
    </w:p>
    <w:p>
      <w:pPr>
        <w:spacing w:after="160" w:line="320"/>
        <w:jc w:val="both"/>
      </w:pPr>
      <w:r>
        <w:rPr>
          <w:rFonts w:ascii="Arial" w:cs="Arial" w:eastAsia="Arial" w:hAnsi="Arial"/>
          <w:color w:val="1F2937"/>
          <w:sz w:val="22"/>
          <w:szCs w:val="22"/>
        </w:rPr>
        <w:t xml:space="preserve">This paper has deliberately been vendor-neutral about the five layers. What is consistently underestimated, in our experience working with regulated counterparties across finance, public sector and energy, is the integration layer that binds them together: the data contracts between layers, the schema governance, the audit-trail design, the operational runbooks, the cross-chain attribution logic, the disaster-recovery posture. This is the work that turns a list of vendor subscriptions into a working enterprise system. It is also the work that MMXX Dynamics' DaaS Core, DaaS Platform and SimpleContxt products are designed to accelerate. We engage on this work directly, vendor-neutrally, and with explicit reference architectures derived from production deployments.</w:t>
      </w:r>
    </w:p>
    <w:p>
      <w:pPr>
        <w:pStyle w:val="Heading1"/>
        <w:spacing w:after="240" w:before="480"/>
      </w:pPr>
      <w:r>
        <w:rPr>
          <w:rFonts w:ascii="Arial" w:cs="Arial" w:eastAsia="Arial" w:hAnsi="Arial"/>
          <w:b/>
          <w:bCs/>
          <w:color w:val="2D4A9A"/>
          <w:sz w:val="36"/>
          <w:szCs w:val="36"/>
        </w:rPr>
        <w:t xml:space="preserve">Conclusion</w:t>
      </w:r>
    </w:p>
    <w:p>
      <w:pPr>
        <w:spacing w:after="160" w:line="320"/>
        <w:jc w:val="both"/>
      </w:pPr>
      <w:r>
        <w:rPr>
          <w:rFonts w:ascii="Arial" w:cs="Arial" w:eastAsia="Arial" w:hAnsi="Arial"/>
          <w:color w:val="1F2937"/>
          <w:sz w:val="22"/>
          <w:szCs w:val="22"/>
        </w:rPr>
        <w:t xml:space="preserve">Enterprise Web3 data infrastructure in 2026 is a five-layer stack that resembles a modern banking data platform more than a blockchain explorer. Ingest, indexing, analytics, monitoring and compliance: each with its own production-grade vendors, each with its own architectural choices, each with its own pace of evolution. The protocol layer is increasingly commoditised; the data layer is where enterprise Web3 deployments succeed or fail.</w:t>
      </w:r>
    </w:p>
    <w:p>
      <w:pPr>
        <w:spacing w:after="160" w:line="320"/>
        <w:jc w:val="both"/>
      </w:pPr>
      <w:r>
        <w:rPr>
          <w:rFonts w:ascii="Arial" w:cs="Arial" w:eastAsia="Arial" w:hAnsi="Arial"/>
          <w:color w:val="1F2937"/>
          <w:sz w:val="22"/>
          <w:szCs w:val="22"/>
        </w:rPr>
        <w:t xml:space="preserve">The institutions that will win the next eighteen months are those that have already designed their architecture around the five layers explicitly, made conscious build-vs-buy choices for each, integrated on-chain data into the same governance and warehouse infrastructure as the rest of the business, and treated monitoring and compliance as first-class operational systems rather than afterthoughts. Those that have not will continue to discover, at every audit and every incident, that the data layer they under-budgeted is the layer that determines whether the deployment scales.</w:t>
      </w:r>
    </w:p>
    <w:p>
      <w:pPr>
        <w:spacing w:after="160" w:line="320"/>
        <w:jc w:val="both"/>
      </w:pPr>
      <w:r>
        <w:rPr>
          <w:rFonts w:ascii="Arial" w:cs="Arial" w:eastAsia="Arial" w:hAnsi="Arial"/>
          <w:color w:val="1F2937"/>
          <w:sz w:val="22"/>
          <w:szCs w:val="22"/>
        </w:rPr>
        <w:t xml:space="preserve">MMXX Dynamics designs and operates this kind of architecture for regulated counterparties across finance, public sector, energy, decentralised applications and consulting. We are happy to engage on specific reference designs, vendor selection, or migration scoping. Contact us at mmxxdynamics.com.</w:t>
      </w:r>
    </w:p>
    <w:p>
      <w:r>
        <w:br w:type="page"/>
      </w:r>
    </w:p>
    <w:p>
      <w:pPr>
        <w:pStyle w:val="Heading1"/>
        <w:spacing w:after="240" w:before="480"/>
      </w:pPr>
      <w:r>
        <w:rPr>
          <w:rFonts w:ascii="Arial" w:cs="Arial" w:eastAsia="Arial" w:hAnsi="Arial"/>
          <w:b/>
          <w:bCs/>
          <w:color w:val="2D4A9A"/>
          <w:sz w:val="36"/>
          <w:szCs w:val="36"/>
        </w:rPr>
        <w:t xml:space="preserve">Selected references</w:t>
      </w:r>
    </w:p>
    <w:p>
      <w:pPr>
        <w:spacing w:after="160" w:line="320"/>
        <w:jc w:val="both"/>
      </w:pPr>
      <w:r>
        <w:rPr>
          <w:rFonts w:ascii="Arial" w:cs="Arial" w:eastAsia="Arial" w:hAnsi="Arial"/>
          <w:color w:val="1F2937"/>
          <w:sz w:val="22"/>
          <w:szCs w:val="22"/>
        </w:rPr>
        <w:t xml:space="preserve">Allium, Enterprise Blockchain Data Warehouse documentation, 2026; KTH Royal Institute of Technology data accuracy benchmark.</w:t>
      </w:r>
    </w:p>
    <w:p>
      <w:pPr>
        <w:spacing w:after="160" w:line="320"/>
        <w:jc w:val="both"/>
      </w:pPr>
      <w:r>
        <w:rPr>
          <w:rFonts w:ascii="Arial" w:cs="Arial" w:eastAsia="Arial" w:hAnsi="Arial"/>
          <w:color w:val="1F2937"/>
          <w:sz w:val="22"/>
          <w:szCs w:val="22"/>
        </w:rPr>
        <w:t xml:space="preserve">Chainalysis, KYT and Reactor product documentation; cumulative tracked value $24 trillion; recovery and freeze totals 2024–2025.</w:t>
      </w:r>
    </w:p>
    <w:p>
      <w:pPr>
        <w:spacing w:after="160" w:line="320"/>
        <w:jc w:val="both"/>
      </w:pPr>
      <w:r>
        <w:rPr>
          <w:rFonts w:ascii="Arial" w:cs="Arial" w:eastAsia="Arial" w:hAnsi="Arial"/>
          <w:color w:val="1F2937"/>
          <w:sz w:val="22"/>
          <w:szCs w:val="22"/>
        </w:rPr>
        <w:t xml:space="preserve">ChainAware.ai, MiCA Compliance for DeFi at 1% of the Cost of Chainalysis, March 2026.</w:t>
      </w:r>
    </w:p>
    <w:p>
      <w:pPr>
        <w:spacing w:after="160" w:line="320"/>
        <w:jc w:val="both"/>
      </w:pPr>
      <w:r>
        <w:rPr>
          <w:rFonts w:ascii="Arial" w:cs="Arial" w:eastAsia="Arial" w:hAnsi="Arial"/>
          <w:color w:val="1F2937"/>
          <w:sz w:val="22"/>
          <w:szCs w:val="22"/>
        </w:rPr>
        <w:t xml:space="preserve">Chainstack, Top 5 Hosted Subgraph Indexing Platforms in 2026, February 2026.</w:t>
      </w:r>
    </w:p>
    <w:p>
      <w:pPr>
        <w:spacing w:after="160" w:line="320"/>
        <w:jc w:val="both"/>
      </w:pPr>
      <w:r>
        <w:rPr>
          <w:rFonts w:ascii="Arial" w:cs="Arial" w:eastAsia="Arial" w:hAnsi="Arial"/>
          <w:color w:val="1F2937"/>
          <w:sz w:val="22"/>
          <w:szCs w:val="22"/>
        </w:rPr>
        <w:t xml:space="preserve">Dune Analytics, Fredrik Haga EthCC 2026 keynote; Sim, Echo, dbt Connector launch announcements 2024–2026.</w:t>
      </w:r>
    </w:p>
    <w:p>
      <w:pPr>
        <w:spacing w:after="160" w:line="320"/>
        <w:jc w:val="both"/>
      </w:pPr>
      <w:r>
        <w:rPr>
          <w:rFonts w:ascii="Arial" w:cs="Arial" w:eastAsia="Arial" w:hAnsi="Arial"/>
          <w:color w:val="1F2937"/>
          <w:sz w:val="22"/>
          <w:szCs w:val="22"/>
        </w:rPr>
        <w:t xml:space="preserve">Elliptic, Lens product documentation; 2 billion labelled addresses; 1,100+ blockchains; 1,130+ cross-chain bridges.</w:t>
      </w:r>
    </w:p>
    <w:p>
      <w:pPr>
        <w:spacing w:after="160" w:line="320"/>
        <w:jc w:val="both"/>
      </w:pPr>
      <w:r>
        <w:rPr>
          <w:rFonts w:ascii="Arial" w:cs="Arial" w:eastAsia="Arial" w:hAnsi="Arial"/>
          <w:color w:val="1F2937"/>
          <w:sz w:val="22"/>
          <w:szCs w:val="22"/>
        </w:rPr>
        <w:t xml:space="preserve">Envio, Best Blockchain Indexers 2026 open benchmark; HyperSync architecture documentation.</w:t>
      </w:r>
    </w:p>
    <w:p>
      <w:pPr>
        <w:spacing w:after="160" w:line="320"/>
        <w:jc w:val="both"/>
      </w:pPr>
      <w:r>
        <w:rPr>
          <w:rFonts w:ascii="Arial" w:cs="Arial" w:eastAsia="Arial" w:hAnsi="Arial"/>
          <w:color w:val="1F2937"/>
          <w:sz w:val="22"/>
          <w:szCs w:val="22"/>
        </w:rPr>
        <w:t xml:space="preserve">EU Regulation 2023/1113 (Transfer of Funds Regulation), in force 30 December 2024.</w:t>
      </w:r>
    </w:p>
    <w:p>
      <w:pPr>
        <w:spacing w:after="160" w:line="320"/>
        <w:jc w:val="both"/>
      </w:pPr>
      <w:r>
        <w:rPr>
          <w:rFonts w:ascii="Arial" w:cs="Arial" w:eastAsia="Arial" w:hAnsi="Arial"/>
          <w:color w:val="1F2937"/>
          <w:sz w:val="22"/>
          <w:szCs w:val="22"/>
        </w:rPr>
        <w:t xml:space="preserve">FATF, Recommendation 16 update on Travel Rule, June 2025.</w:t>
      </w:r>
    </w:p>
    <w:p>
      <w:pPr>
        <w:spacing w:after="160" w:line="320"/>
        <w:jc w:val="both"/>
      </w:pPr>
      <w:r>
        <w:rPr>
          <w:rFonts w:ascii="Arial" w:cs="Arial" w:eastAsia="Arial" w:hAnsi="Arial"/>
          <w:color w:val="1F2937"/>
          <w:sz w:val="22"/>
          <w:szCs w:val="22"/>
        </w:rPr>
        <w:t xml:space="preserve">Goldsky, Enterprise Data Platform for Onchain Finance documentation; sub-second indexing latency claims.</w:t>
      </w:r>
    </w:p>
    <w:p>
      <w:pPr>
        <w:spacing w:after="160" w:line="320"/>
        <w:jc w:val="both"/>
      </w:pPr>
      <w:r>
        <w:rPr>
          <w:rFonts w:ascii="Arial" w:cs="Arial" w:eastAsia="Arial" w:hAnsi="Arial"/>
          <w:color w:val="1F2937"/>
          <w:sz w:val="22"/>
          <w:szCs w:val="22"/>
        </w:rPr>
        <w:t xml:space="preserve">Halborn, Top 100 DeFi Hacks 2025 retrospective.</w:t>
      </w:r>
    </w:p>
    <w:p>
      <w:pPr>
        <w:spacing w:after="160" w:line="320"/>
        <w:jc w:val="both"/>
      </w:pPr>
      <w:r>
        <w:rPr>
          <w:rFonts w:ascii="Arial" w:cs="Arial" w:eastAsia="Arial" w:hAnsi="Arial"/>
          <w:color w:val="1F2937"/>
          <w:sz w:val="22"/>
          <w:szCs w:val="22"/>
        </w:rPr>
        <w:t xml:space="preserve">Hypernative, Real-Time Web3 Security platform documentation; 70+ chains, 99.8% detection rate, $100B+ assets secured, 250+ clients; Balancer V2 exploit detection November 2025.</w:t>
      </w:r>
    </w:p>
    <w:p>
      <w:pPr>
        <w:spacing w:after="160" w:line="320"/>
        <w:jc w:val="both"/>
      </w:pPr>
      <w:r>
        <w:rPr>
          <w:rFonts w:ascii="Arial" w:cs="Arial" w:eastAsia="Arial" w:hAnsi="Arial"/>
          <w:color w:val="1F2937"/>
          <w:sz w:val="22"/>
          <w:szCs w:val="22"/>
        </w:rPr>
        <w:t xml:space="preserve">Ormi Labs, Best Blockchain Indexers Updated for 2026, March 2026; Ostium migration case study.</w:t>
      </w:r>
    </w:p>
    <w:p>
      <w:pPr>
        <w:spacing w:after="160" w:line="320"/>
        <w:jc w:val="both"/>
      </w:pPr>
      <w:r>
        <w:rPr>
          <w:rFonts w:ascii="Arial" w:cs="Arial" w:eastAsia="Arial" w:hAnsi="Arial"/>
          <w:color w:val="1F2937"/>
          <w:sz w:val="22"/>
          <w:szCs w:val="22"/>
        </w:rPr>
        <w:t xml:space="preserve">Phala Network, Migration to Ethereum L2, 20 November 2025.</w:t>
      </w:r>
    </w:p>
    <w:p>
      <w:pPr>
        <w:spacing w:after="160" w:line="320"/>
        <w:jc w:val="both"/>
      </w:pPr>
      <w:r>
        <w:rPr>
          <w:rFonts w:ascii="Arial" w:cs="Arial" w:eastAsia="Arial" w:hAnsi="Arial"/>
          <w:color w:val="1F2937"/>
          <w:sz w:val="22"/>
          <w:szCs w:val="22"/>
        </w:rPr>
        <w:t xml:space="preserve">The Graph Hosted Service deprecation, 2026 cohort migration data.</w:t>
      </w:r>
    </w:p>
    <w:p>
      <w:pPr>
        <w:spacing w:after="160" w:line="320"/>
        <w:jc w:val="both"/>
      </w:pPr>
      <w:r>
        <w:rPr>
          <w:rFonts w:ascii="Arial" w:cs="Arial" w:eastAsia="Arial" w:hAnsi="Arial"/>
          <w:color w:val="1F2937"/>
          <w:sz w:val="22"/>
          <w:szCs w:val="22"/>
        </w:rPr>
        <w:t xml:space="preserve">TRM Labs, What is the Best Crypto AML and Compliance Solution in 2026, January 2026; partnership with Hypernative announced 1 April 2026.</w:t>
      </w:r>
    </w:p>
    <w:p>
      <w:pPr>
        <w:spacing w:after="160" w:line="320"/>
        <w:jc w:val="both"/>
      </w:pPr>
      <w:r>
        <w:rPr>
          <w:rFonts w:ascii="Arial" w:cs="Arial" w:eastAsia="Arial" w:hAnsi="Arial"/>
          <w:color w:val="1F2937"/>
          <w:sz w:val="22"/>
          <w:szCs w:val="22"/>
        </w:rPr>
        <w:t xml:space="preserve">Tenderly, Real-Time Blockchain Monitoring &amp; Alerting documentation.</w:t>
      </w:r>
    </w:p>
    <w:p>
      <w:pPr>
        <w:spacing w:after="120"/>
      </w:pPr>
      <w:r>
        <w:t xml:space="preserve"/>
      </w:r>
    </w:p>
    <w:p>
      <w:pPr>
        <w:spacing w:after="160" w:line="320"/>
        <w:jc w:val="both"/>
      </w:pPr>
      <w:r>
        <w:rPr>
          <w:rFonts w:ascii="Arial" w:cs="Arial" w:eastAsia="Arial" w:hAnsi="Arial"/>
          <w:i/>
          <w:iCs/>
          <w:color w:val="6B7280"/>
          <w:sz w:val="22"/>
          <w:szCs w:val="22"/>
        </w:rPr>
        <w:t xml:space="preserve">This paper reflects publicly available information and MMXX Dynamics' own engagements as of May 2026. References to commercial platforms are illustrative; inclusion or exclusion does not constitute an endorsement.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color w:val="6B7280"/>
        <w:sz w:val="18"/>
        <w:szCs w:val="18"/>
      </w:rPr>
      <w:t xml:space="preserve">Page </w:t>
    </w:r>
    <w:r>
      <w:rPr>
        <w:rFonts w:ascii="Arial" w:cs="Arial" w:eastAsia="Arial" w:hAnsi="Arial"/>
        <w:color w:val="6B7280"/>
        <w:sz w:val="18"/>
        <w:szCs w:val="18"/>
      </w:rPr>
      <w:fldChar w:fldCharType="begin"/>
      <w:instrText xml:space="preserve">PAGE</w:instrText>
      <w:fldChar w:fldCharType="separate"/>
      <w:fldChar w:fldCharType="end"/>
    </w:r>
    <w:r>
      <w:rPr>
        <w:rFonts w:ascii="Arial" w:cs="Arial" w:eastAsia="Arial" w:hAnsi="Arial"/>
        <w:color w:val="6B7280"/>
        <w:sz w:val="18"/>
        <w:szCs w:val="18"/>
      </w:rPr>
      <w:t xml:space="preserve"> · MMXX Dynamics, May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z w:val="18"/>
        <w:szCs w:val="18"/>
      </w:rPr>
      <w:t xml:space="preserve">MMXX Dynamics  ·  Web3 Data Infrastructure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2D4A9A"/>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2D4A9A"/>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Web3 Data Infrastructure: A Reference Architecture for Multi-Chain Enterprise Operations</dc:title>
  <dc:creator>MMXX Dynamics</dc:creator>
  <dc:description>MMXX Dynamics White Paper, May 2026</dc:description>
  <cp:lastModifiedBy>Un-named</cp:lastModifiedBy>
  <cp:revision>1</cp:revision>
  <dcterms:created xsi:type="dcterms:W3CDTF">2026-05-06T10:08:52.413Z</dcterms:created>
  <dcterms:modified xsi:type="dcterms:W3CDTF">2026-05-06T10:08:52.413Z</dcterms:modified>
</cp:coreProperties>
</file>

<file path=docProps/custom.xml><?xml version="1.0" encoding="utf-8"?>
<Properties xmlns="http://schemas.openxmlformats.org/officeDocument/2006/custom-properties" xmlns:vt="http://schemas.openxmlformats.org/officeDocument/2006/docPropsVTypes"/>
</file>