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left"/>
      </w:pPr>
      <w:r>
        <w:rPr>
          <w:rFonts w:ascii="Arial" w:cs="Arial" w:eastAsia="Arial" w:hAnsi="Arial"/>
          <w:b/>
          <w:bCs/>
          <w:color w:val="35BEF0"/>
          <w:spacing w:val="80"/>
          <w:sz w:val="22"/>
          <w:szCs w:val="22"/>
        </w:rPr>
        <w:t xml:space="preserve">MMXX DYNAMICS</w:t>
      </w:r>
    </w:p>
    <w:p>
      <w:pPr>
        <w:spacing w:after="120"/>
      </w:pPr>
      <w:r>
        <w:rPr>
          <w:rFonts w:ascii="Arial" w:cs="Arial" w:eastAsia="Arial" w:hAnsi="Arial"/>
          <w:color w:val="6B7280"/>
          <w:spacing w:val="60"/>
          <w:sz w:val="18"/>
          <w:szCs w:val="18"/>
        </w:rPr>
        <w:t xml:space="preserve">WHITE PAPER · MAY 2026</w:t>
      </w:r>
    </w:p>
    <w:p>
      <w:pPr>
        <w:spacing w:after="240" w:before="600"/>
      </w:pPr>
      <w:r>
        <w:rPr>
          <w:rFonts w:ascii="Arial" w:cs="Arial" w:eastAsia="Arial" w:hAnsi="Arial"/>
          <w:b/>
          <w:bCs/>
          <w:color w:val="2D4A9A"/>
          <w:sz w:val="56"/>
          <w:szCs w:val="56"/>
        </w:rPr>
        <w:t xml:space="preserve">Confidential Web3</w:t>
      </w:r>
    </w:p>
    <w:p>
      <w:pPr>
        <w:spacing w:after="480"/>
      </w:pPr>
      <w:r>
        <w:rPr>
          <w:rFonts w:ascii="Arial" w:cs="Arial" w:eastAsia="Arial" w:hAnsi="Arial"/>
          <w:color w:val="1F2937"/>
          <w:sz w:val="32"/>
          <w:szCs w:val="32"/>
        </w:rPr>
        <w:t xml:space="preserve">Privacy-Preserving Architectures for Regulated Enterprise Blockchain</w:t>
      </w:r>
    </w:p>
    <w:p>
      <w:pPr>
        <w:pBdr>
          <w:top w:val="single" w:color="35BEF0" w:sz="6" w:space="8"/>
        </w:pBdr>
        <w:spacing w:after="120" w:before="240"/>
      </w:pPr>
      <w:r>
        <w:t xml:space="preserve"/>
      </w:r>
    </w:p>
    <w:p>
      <w:pPr>
        <w:spacing w:after="100" w:before="240"/>
      </w:pPr>
      <w:r>
        <w:rPr>
          <w:rFonts w:ascii="Arial" w:cs="Arial" w:eastAsia="Arial" w:hAnsi="Arial"/>
          <w:b/>
          <w:bCs/>
          <w:color w:val="6B7280"/>
          <w:spacing w:val="40"/>
          <w:sz w:val="18"/>
          <w:szCs w:val="18"/>
        </w:rPr>
        <w:t xml:space="preserve">Authors</w:t>
      </w:r>
    </w:p>
    <w:p>
      <w:pPr>
        <w:spacing w:after="80"/>
      </w:pPr>
      <w:r>
        <w:rPr>
          <w:rFonts w:ascii="Arial" w:cs="Arial" w:eastAsia="Arial" w:hAnsi="Arial"/>
          <w:color w:val="1F2937"/>
          <w:sz w:val="22"/>
          <w:szCs w:val="22"/>
        </w:rPr>
        <w:t xml:space="preserve">Dr Sarah Chen, Lead Security Auditor</w:t>
      </w:r>
    </w:p>
    <w:p>
      <w:pPr>
        <w:spacing w:after="80"/>
      </w:pPr>
      <w:r>
        <w:rPr>
          <w:rFonts w:ascii="Arial" w:cs="Arial" w:eastAsia="Arial" w:hAnsi="Arial"/>
          <w:color w:val="1F2937"/>
          <w:sz w:val="22"/>
          <w:szCs w:val="22"/>
        </w:rPr>
        <w:t xml:space="preserve">Dr Helena Voss, Director of Regulatory Strategy</w:t>
      </w:r>
    </w:p>
    <w:p>
      <w:pPr>
        <w:spacing w:after="80"/>
      </w:pPr>
      <w:r>
        <w:rPr>
          <w:rFonts w:ascii="Arial" w:cs="Arial" w:eastAsia="Arial" w:hAnsi="Arial"/>
          <w:color w:val="1F2937"/>
          <w:sz w:val="22"/>
          <w:szCs w:val="22"/>
        </w:rPr>
        <w:t xml:space="preserve">Michael Zhang, Blockchain Architect</w:t>
      </w:r>
    </w:p>
    <w:p>
      <w:pPr>
        <w:spacing w:after="0" w:before="4800"/>
        <w:jc w:val="left"/>
      </w:pPr>
      <w:r>
        <w:rPr>
          <w:rFonts w:ascii="Arial" w:cs="Arial" w:eastAsia="Arial" w:hAnsi="Arial"/>
          <w:color w:val="6B7280"/>
          <w:sz w:val="18"/>
          <w:szCs w:val="18"/>
        </w:rPr>
        <w:t xml:space="preserve">MMXX Dynamics Ltd · Sheffield, United Kingdom · mmxxdynamics.com</w:t>
      </w:r>
    </w:p>
    <w:p>
      <w:r>
        <w:br w:type="page"/>
      </w:r>
    </w:p>
    <w:p>
      <w:pPr>
        <w:pStyle w:val="Heading1"/>
        <w:spacing w:after="240" w:before="480"/>
      </w:pPr>
      <w:r>
        <w:rPr>
          <w:rFonts w:ascii="Arial" w:cs="Arial" w:eastAsia="Arial" w:hAnsi="Arial"/>
          <w:b/>
          <w:bCs/>
          <w:color w:val="2D4A9A"/>
          <w:sz w:val="36"/>
          <w:szCs w:val="36"/>
        </w:rPr>
        <w:t xml:space="preserve">Executive Summary</w:t>
      </w:r>
    </w:p>
    <w:p>
      <w:pPr>
        <w:spacing w:after="160" w:line="320"/>
        <w:jc w:val="both"/>
      </w:pPr>
      <w:r>
        <w:rPr>
          <w:rFonts w:ascii="Arial" w:cs="Arial" w:eastAsia="Arial" w:hAnsi="Arial"/>
          <w:color w:val="1F2937"/>
          <w:sz w:val="22"/>
          <w:szCs w:val="22"/>
        </w:rPr>
        <w:t xml:space="preserve">The defining architectural tension in enterprise Web3 in 2026 is no longer the choice of chain or rollup. It is the gap between what public blockchains do well (verifiable, multi-party, neutral settlement) and what regulated enterprises actually need: confidential business data, auditable identity, jurisdictional compliance, and selective disclosure to specific counterparties or regulators. The institutions that close this gap will define the next phase of enterprise blockchain. Those that do not will remain stuck in permissioned ledgers that solve neither the transparency nor the privacy problem cleanly.</w:t>
      </w:r>
    </w:p>
    <w:p>
      <w:pPr>
        <w:spacing w:after="160" w:line="320"/>
        <w:jc w:val="both"/>
      </w:pPr>
      <w:r>
        <w:rPr>
          <w:rFonts w:ascii="Arial" w:cs="Arial" w:eastAsia="Arial" w:hAnsi="Arial"/>
          <w:color w:val="1F2937"/>
          <w:sz w:val="22"/>
          <w:szCs w:val="22"/>
        </w:rPr>
        <w:t xml:space="preserve">This paper sets out a current operating model for confidentiality on public chains, grounded in the cryptographic and hardware primitives that have moved from research to production in the last twelve months. Aztec's privacy-preserving Layer 2 reached mainnet in November 2025, with token genesis in February 2026. Zama, the first Fully Homomorphic Encryption unicorn, launched fhEVM mainnet on Ethereum in late December 2025. Phala Network completed its migration to an Ethereum L2 in November 2025 and now processes more than one billion LLM tokens daily under Trusted Execution Environment isolation. Railgun's privacy pools, endorsed by Vitalik Buterin and integrated into the Ethereum Foundation's new Kohaku privacy framework, are now the operational standard for compliant on-chain confidentiality. EigenAI is securing verifiable AI inference with $11 billion of restaked ETH.</w:t>
      </w:r>
    </w:p>
    <w:p>
      <w:pPr>
        <w:spacing w:after="160" w:line="320"/>
        <w:jc w:val="both"/>
      </w:pPr>
      <w:r>
        <w:rPr>
          <w:rFonts w:ascii="Arial" w:cs="Arial" w:eastAsia="Arial" w:hAnsi="Arial"/>
          <w:color w:val="1F2937"/>
          <w:sz w:val="22"/>
          <w:szCs w:val="22"/>
        </w:rPr>
        <w:t xml:space="preserve">None of this is theoretical. The same regulatory environment that hardened in 2025–2026 (MiCA's full enforcement, the GENIUS Act, the EU Digital Identity Wallet's December 2026 mandate, the FATF Travel Rule's tightening) has made confidential, compliant Web3 a procurement-grade question rather than a research one. Selective disclosure, zk-KYC, regulated privacy pools and verifiable credentials are now legible to compliance teams in a way they were not eighteen months ago.</w:t>
      </w:r>
    </w:p>
    <w:p>
      <w:pPr>
        <w:spacing w:after="160" w:line="320"/>
        <w:jc w:val="both"/>
      </w:pPr>
      <w:r>
        <w:rPr>
          <w:rFonts w:ascii="Arial" w:cs="Arial" w:eastAsia="Arial" w:hAnsi="Arial"/>
          <w:color w:val="1F2937"/>
          <w:sz w:val="22"/>
          <w:szCs w:val="22"/>
        </w:rPr>
        <w:t xml:space="preserve">This paper does five things. First, it explains the four confidentiality primitives (Zero-Knowledge Proofs, Fully Homomorphic Encryption, Trusted Execution Environments, and Multi-Party Computation) at the level a buyer or architect needs. Second, it surveys the production-grade implementations available in 2026 and the named platforms behind each one. Third, it sets out the identity layer, verifiable credentials, EUDI Wallet, zk-KYC, selective disclosure, that makes confidential transactions legible to regulators. Fourth, it provides reference architectures for four sectors MMXX Dynamics serves: institutional finance, regulated healthcare, public sector, and confidential supply chain. Fifth, it gives a concrete decision framework for choosing the right primitive for the right job.</w:t>
      </w:r>
    </w:p>
    <w:p>
      <w:pPr>
        <w:pBdr>
          <w:left w:val="single" w:color="35BEF0" w:sz="24" w:space="8"/>
        </w:pBdr>
        <w:shd w:fill="F1F5FF" w:val="clear"/>
        <w:spacing w:after="240" w:before="240" w:line="320"/>
        <w:ind w:left="360" w:right="240"/>
        <w:jc w:val="left"/>
      </w:pPr>
      <w:r>
        <w:rPr>
          <w:rFonts w:ascii="Arial" w:cs="Arial" w:eastAsia="Arial" w:hAnsi="Arial"/>
          <w:i/>
          <w:iCs/>
          <w:color w:val="1F2937"/>
          <w:sz w:val="22"/>
          <w:szCs w:val="22"/>
        </w:rPr>
        <w:t xml:space="preserve">Privacy on public chains is not the absence of regulation. It is the architectural ability to be regulated correctly without exposing every transaction to the open internet.</w:t>
      </w:r>
    </w:p>
    <w:p>
      <w:pPr>
        <w:spacing w:after="160" w:line="320"/>
        <w:jc w:val="both"/>
      </w:pPr>
      <w:r>
        <w:rPr>
          <w:rFonts w:ascii="Arial" w:cs="Arial" w:eastAsia="Arial" w:hAnsi="Arial"/>
          <w:color w:val="1F2937"/>
          <w:sz w:val="22"/>
          <w:szCs w:val="22"/>
        </w:rPr>
        <w:t xml:space="preserve">The core argument of the paper is that the binary 'public versus permissioned' framing of 2018–2023 is now obsolete. The 2026 architecture is hybrid by design: public-chain settlement, privacy-preserving execution, selective regulator-facing disclosure. The platforms to do this exist. The standards have hardened. The legal envelope is intact. The remaining work is integration, and that is the work this paper is intended to inform.</w:t>
      </w:r>
    </w:p>
    <w:p>
      <w:r>
        <w:br w:type="page"/>
      </w:r>
    </w:p>
    <w:p>
      <w:pPr>
        <w:pStyle w:val="Heading1"/>
        <w:spacing w:after="240" w:before="480"/>
      </w:pPr>
      <w:r>
        <w:rPr>
          <w:rFonts w:ascii="Arial" w:cs="Arial" w:eastAsia="Arial" w:hAnsi="Arial"/>
          <w:b/>
          <w:bCs/>
          <w:color w:val="2D4A9A"/>
          <w:sz w:val="36"/>
          <w:szCs w:val="36"/>
        </w:rPr>
        <w:t xml:space="preserve">1. The Public-Chain Privacy Paradox</w:t>
      </w:r>
    </w:p>
    <w:p>
      <w:pPr>
        <w:spacing w:after="160" w:line="320"/>
        <w:jc w:val="both"/>
      </w:pPr>
      <w:r>
        <w:rPr>
          <w:rFonts w:ascii="Arial" w:cs="Arial" w:eastAsia="Arial" w:hAnsi="Arial"/>
          <w:color w:val="1F2937"/>
          <w:sz w:val="22"/>
          <w:szCs w:val="22"/>
        </w:rPr>
        <w:t xml:space="preserve">Public blockchains were designed to be transparent. Every transaction is visible, every balance is queryable, every smart-contract interaction is reproducible by any node operator with an RPC connection. This transparency is also the property that gives public chains their auditability advantage over closed systems: any participant can verify the state, no central operator can selectively withhold information, and post-hoc disputes collapse into byte-level reproducibility.</w:t>
      </w:r>
    </w:p>
    <w:p>
      <w:pPr>
        <w:spacing w:after="160" w:line="320"/>
        <w:jc w:val="both"/>
      </w:pPr>
      <w:r>
        <w:rPr>
          <w:rFonts w:ascii="Arial" w:cs="Arial" w:eastAsia="Arial" w:hAnsi="Arial"/>
          <w:color w:val="1F2937"/>
          <w:sz w:val="22"/>
          <w:szCs w:val="22"/>
        </w:rPr>
        <w:t xml:space="preserve">This is exactly the wrong default for most enterprise workloads. A tokenised invoice from a logistics counterparty contains the buyer, the supplier, the price, the route, and the payment terms, none of which the parties want broadcast to competitors, banks they do not transact with, or aggregators monetising on-chain data. A treasury rebalance discloses position size, direction, and timing, information that adversaries reliably exploit. A healthcare-record attestation discloses diagnosis category, even if the patient identifier is hashed. A salary payment discloses payroll. A B2B settlement discloses customer relationships.</w:t>
      </w:r>
    </w:p>
    <w:p>
      <w:pPr>
        <w:spacing w:after="160" w:line="320"/>
        <w:jc w:val="both"/>
      </w:pPr>
      <w:r>
        <w:rPr>
          <w:rFonts w:ascii="Arial" w:cs="Arial" w:eastAsia="Arial" w:hAnsi="Arial"/>
          <w:color w:val="1F2937"/>
          <w:sz w:val="22"/>
          <w:szCs w:val="22"/>
        </w:rPr>
        <w:t xml:space="preserve">Until very recently, the operational answer to this was a permissioned ledger, a Hyperledger Fabric, Corda or similar private chain where participants are vetted and visibility is restricted by membership. This works, but at a high cost. Permissioned ledgers reintroduce the central-operator problem (who governs membership, who controls the consensus, who is liable for an outage), they fragment liquidity (every consortium becomes its own walled garden), and they fail to reach the public-chain settlement assets (tokenised Treasuries, regulated stablecoins, Bitcoin DeFi yield) that are the fastest-growing on-chain markets. Permissioned chains solved confidentiality by removing the public-chain advantage entirely.</w:t>
      </w:r>
    </w:p>
    <w:p>
      <w:pPr>
        <w:spacing w:after="160" w:line="320"/>
        <w:jc w:val="both"/>
      </w:pPr>
      <w:r>
        <w:rPr>
          <w:rFonts w:ascii="Arial" w:cs="Arial" w:eastAsia="Arial" w:hAnsi="Arial"/>
          <w:color w:val="1F2937"/>
          <w:sz w:val="22"/>
          <w:szCs w:val="22"/>
        </w:rPr>
        <w:t xml:space="preserve">The 2026 alternative is to add confidentiality back into public chains as a programmable layer, rather than to rebuild closed ledgers. Four cryptographic and hardware primitives now make this practical. Each primitive solves a distinct sub-problem; in production deployments, two or three are typically combined.</w:t>
      </w:r>
    </w:p>
    <w:p>
      <w:pPr>
        <w:pStyle w:val="Heading3"/>
        <w:spacing w:after="120" w:before="240"/>
      </w:pPr>
      <w:r>
        <w:rPr>
          <w:rFonts w:ascii="Arial" w:cs="Arial" w:eastAsia="Arial" w:hAnsi="Arial"/>
          <w:b/>
          <w:bCs/>
          <w:color w:val="1F2937"/>
          <w:sz w:val="24"/>
          <w:szCs w:val="24"/>
        </w:rPr>
        <w:t xml:space="preserve">The four building blocks</w:t>
      </w:r>
    </w:p>
    <w:p>
      <w:pPr>
        <w:pStyle w:val="ListParagraph"/>
        <w:numPr>
          <w:ilvl w:val="0"/>
          <w:numId w:val="2"/>
        </w:numPr>
        <w:spacing w:after="100" w:line="300"/>
      </w:pPr>
      <w:r>
        <w:rPr>
          <w:rFonts w:ascii="Arial" w:cs="Arial" w:eastAsia="Arial" w:hAnsi="Arial"/>
          <w:b/>
          <w:bCs/>
          <w:color w:val="1F2937"/>
          <w:sz w:val="22"/>
          <w:szCs w:val="22"/>
        </w:rPr>
        <w:t xml:space="preserve">Zero-Knowledge Proofs (ZKPs)</w:t>
      </w:r>
      <w:r>
        <w:rPr>
          <w:rFonts w:ascii="Arial" w:cs="Arial" w:eastAsia="Arial" w:hAnsi="Arial"/>
          <w:color w:val="1F2937"/>
          <w:sz w:val="22"/>
          <w:szCs w:val="22"/>
        </w:rPr>
        <w:t xml:space="preserve"> let one party prove a statement is true without revealing the underlying inputs. They are the dominant primitive for selective disclosure and verifiable computation.</w:t>
      </w:r>
    </w:p>
    <w:p>
      <w:pPr>
        <w:pStyle w:val="ListParagraph"/>
        <w:numPr>
          <w:ilvl w:val="0"/>
          <w:numId w:val="2"/>
        </w:numPr>
        <w:spacing w:after="100" w:line="300"/>
      </w:pPr>
      <w:r>
        <w:rPr>
          <w:rFonts w:ascii="Arial" w:cs="Arial" w:eastAsia="Arial" w:hAnsi="Arial"/>
          <w:b/>
          <w:bCs/>
          <w:color w:val="1F2937"/>
          <w:sz w:val="22"/>
          <w:szCs w:val="22"/>
        </w:rPr>
        <w:t xml:space="preserve">Fully Homomorphic Encryption (FHE)</w:t>
      </w:r>
      <w:r>
        <w:rPr>
          <w:rFonts w:ascii="Arial" w:cs="Arial" w:eastAsia="Arial" w:hAnsi="Arial"/>
          <w:color w:val="1F2937"/>
          <w:sz w:val="22"/>
          <w:szCs w:val="22"/>
        </w:rPr>
        <w:t xml:space="preserve"> allows computation on encrypted data without ever decrypting it. The operator running the computation never sees the inputs or outputs.</w:t>
      </w:r>
    </w:p>
    <w:p>
      <w:pPr>
        <w:pStyle w:val="ListParagraph"/>
        <w:numPr>
          <w:ilvl w:val="0"/>
          <w:numId w:val="2"/>
        </w:numPr>
        <w:spacing w:after="100" w:line="300"/>
      </w:pPr>
      <w:r>
        <w:rPr>
          <w:rFonts w:ascii="Arial" w:cs="Arial" w:eastAsia="Arial" w:hAnsi="Arial"/>
          <w:b/>
          <w:bCs/>
          <w:color w:val="1F2937"/>
          <w:sz w:val="22"/>
          <w:szCs w:val="22"/>
        </w:rPr>
        <w:t xml:space="preserve">Trusted Execution Environments (TEEs)</w:t>
      </w:r>
      <w:r>
        <w:rPr>
          <w:rFonts w:ascii="Arial" w:cs="Arial" w:eastAsia="Arial" w:hAnsi="Arial"/>
          <w:color w:val="1F2937"/>
          <w:sz w:val="22"/>
          <w:szCs w:val="22"/>
        </w:rPr>
        <w:t xml:space="preserve"> are hardware-isolated processor enclaves (Intel SGX/TDX, AMD SEV, NVIDIA H100) that run code in a sealed environment, with cryptographic attestation that the right code is running.</w:t>
      </w:r>
    </w:p>
    <w:p>
      <w:pPr>
        <w:pStyle w:val="ListParagraph"/>
        <w:numPr>
          <w:ilvl w:val="0"/>
          <w:numId w:val="2"/>
        </w:numPr>
        <w:spacing w:after="100" w:line="300"/>
      </w:pPr>
      <w:r>
        <w:rPr>
          <w:rFonts w:ascii="Arial" w:cs="Arial" w:eastAsia="Arial" w:hAnsi="Arial"/>
          <w:b/>
          <w:bCs/>
          <w:color w:val="1F2937"/>
          <w:sz w:val="22"/>
          <w:szCs w:val="22"/>
        </w:rPr>
        <w:t xml:space="preserve">Multi-Party Computation (MPC)</w:t>
      </w:r>
      <w:r>
        <w:rPr>
          <w:rFonts w:ascii="Arial" w:cs="Arial" w:eastAsia="Arial" w:hAnsi="Arial"/>
          <w:color w:val="1F2937"/>
          <w:sz w:val="22"/>
          <w:szCs w:val="22"/>
        </w:rPr>
        <w:t xml:space="preserve"> splits a secret across multiple non-colluding parties so that the secret can only be reconstructed (or used to sign, or used to compute) by their cooperation. Used widely in institutional custody and threshold signing.</w:t>
      </w:r>
    </w:p>
    <w:p>
      <w:pPr>
        <w:spacing w:after="160" w:line="320"/>
        <w:jc w:val="both"/>
      </w:pPr>
      <w:r>
        <w:rPr>
          <w:rFonts w:ascii="Arial" w:cs="Arial" w:eastAsia="Arial" w:hAnsi="Arial"/>
          <w:color w:val="1F2937"/>
          <w:sz w:val="22"/>
          <w:szCs w:val="22"/>
        </w:rPr>
        <w:t xml:space="preserve">These are not competing technologies. They are complementary primitives with different cost, latency, trust and expressivity profiles. A 2026-grade enterprise architecture chooses among them, or combines them, based on the workload.</w:t>
      </w:r>
    </w:p>
    <w:p>
      <w:pPr>
        <w:spacing w:after="160" w:line="320"/>
        <w:jc w:val="both"/>
      </w:pPr>
      <w:r>
        <w:rPr>
          <w:rFonts w:ascii="Arial" w:cs="Arial" w:eastAsia="Arial" w:hAnsi="Arial"/>
          <w:color w:val="1F2937"/>
          <w:sz w:val="22"/>
          <w:szCs w:val="22"/>
        </w:rPr>
        <w:t xml:space="preserve">The structural change since 2024 is that all four have left the laboratory. Aztec is on mainnet. Zama's fhEVM is on mainnet. Phala has migrated to Ethereum L2 and runs production AI workloads under Intel TDX and NVIDIA GPU TEEs. Fireblocks, Copper and BitGo run institutional-scale MPC custody for regulated counterparties holding tens of billions in digital assets. The conversation has moved from 'is confidentiality possible on public chains?' to 'which primitive, for which workload, in which jurisdiction.'</w:t>
      </w:r>
    </w:p>
    <w:p>
      <w:r>
        <w:br w:type="page"/>
      </w:r>
    </w:p>
    <w:p>
      <w:pPr>
        <w:pStyle w:val="Heading1"/>
        <w:spacing w:after="240" w:before="480"/>
      </w:pPr>
      <w:r>
        <w:rPr>
          <w:rFonts w:ascii="Arial" w:cs="Arial" w:eastAsia="Arial" w:hAnsi="Arial"/>
          <w:b/>
          <w:bCs/>
          <w:color w:val="2D4A9A"/>
          <w:sz w:val="36"/>
          <w:szCs w:val="36"/>
        </w:rPr>
        <w:t xml:space="preserve">2. The Four Confidentiality Primitives in 2026</w:t>
      </w:r>
    </w:p>
    <w:p>
      <w:pPr>
        <w:pStyle w:val="Heading2"/>
        <w:spacing w:after="160" w:before="320"/>
      </w:pPr>
      <w:r>
        <w:rPr>
          <w:rFonts w:ascii="Arial" w:cs="Arial" w:eastAsia="Arial" w:hAnsi="Arial"/>
          <w:b/>
          <w:bCs/>
          <w:color w:val="2D4A9A"/>
          <w:sz w:val="28"/>
          <w:szCs w:val="28"/>
        </w:rPr>
        <w:t xml:space="preserve">2.1 Zero-Knowledge Proofs</w:t>
      </w:r>
    </w:p>
    <w:p>
      <w:pPr>
        <w:spacing w:after="160" w:line="320"/>
        <w:jc w:val="both"/>
      </w:pPr>
      <w:r>
        <w:rPr>
          <w:rFonts w:ascii="Arial" w:cs="Arial" w:eastAsia="Arial" w:hAnsi="Arial"/>
          <w:color w:val="1F2937"/>
          <w:sz w:val="22"/>
          <w:szCs w:val="22"/>
        </w:rPr>
        <w:t xml:space="preserve">Zero-Knowledge Proofs let a prover convince a verifier that some statement is true without revealing the witness, the underlying data that makes it true. In Web3 in 2026, ZKPs are used for two distinct purposes that are often confused: validity proofs in rollups (cheap, on-chain verifiable proofs that a batch of transactions executed correctly, used by zkSync, Linea, Scroll, Polygon zkEVM and Starknet to inherit Ethereum security) and privacy proofs (proofs that hide the inputs to a computation while exposing only its truth value).</w:t>
      </w:r>
    </w:p>
    <w:p>
      <w:pPr>
        <w:spacing w:after="160" w:line="320"/>
        <w:jc w:val="both"/>
      </w:pPr>
      <w:r>
        <w:rPr>
          <w:rFonts w:ascii="Arial" w:cs="Arial" w:eastAsia="Arial" w:hAnsi="Arial"/>
          <w:color w:val="1F2937"/>
          <w:sz w:val="22"/>
          <w:szCs w:val="22"/>
        </w:rPr>
        <w:t xml:space="preserve">This paper concerns the second category. In a privacy proof, a user holds private state (a balance, a credential, an identity) and proves a statement about it without revealing the state itself. "I own enough USDC to settle this trade." "I am over eighteen." "My wallet is not on the OFAC sanctions list." "This deposit was not derived from the Lazarus Group's known addresses." The proof can be verified on-chain by any party; the witness data never leaves the user's device.</w:t>
      </w:r>
    </w:p>
    <w:p>
      <w:pPr>
        <w:spacing w:after="160" w:line="320"/>
        <w:jc w:val="both"/>
      </w:pPr>
      <w:r>
        <w:rPr>
          <w:rFonts w:ascii="Arial" w:cs="Arial" w:eastAsia="Arial" w:hAnsi="Arial"/>
          <w:color w:val="1F2937"/>
          <w:sz w:val="22"/>
          <w:szCs w:val="22"/>
        </w:rPr>
        <w:t xml:space="preserve">The dominant production-grade ZK privacy platform in 2026 is Aztec Network. Aztec reached mainnet on 20 November 2025 after seven years of research, and held its Token Generation Event on 12 February 2026 with over 16,700 participants. Its architecture is hybrid: every smart contract can have both private state (encrypted UTXOs that only the owner can decrypt) and public state (a transparent Merkle tree compatible with Ethereum). Developers write contracts in Noir, Aztec's Rust-like ZK programming language, and execution happens on the user's device, with only succinct proofs reaching the network. At mainnet, Aztec targets 1 TPS with 6-second blocks, scaling toward 100+ TPS by full beta. A critical vulnerability disclosed in March 2026 is being patched in v5 (planned July 2026), a reminder that this is still alpha-stage infrastructure with non-trivial operational risk.</w:t>
      </w:r>
    </w:p>
    <w:p>
      <w:pPr>
        <w:spacing w:after="160" w:line="320"/>
        <w:jc w:val="both"/>
      </w:pPr>
      <w:r>
        <w:rPr>
          <w:rFonts w:ascii="Arial" w:cs="Arial" w:eastAsia="Arial" w:hAnsi="Arial"/>
          <w:color w:val="1F2937"/>
          <w:sz w:val="22"/>
          <w:szCs w:val="22"/>
        </w:rPr>
        <w:t xml:space="preserve">Aleo is the second mature ZK-native L1, focused on private execution at the consensus layer. RISC Zero, Succinct (SP1) and Lagrange provide general-purpose zkVMs that compile high-level programs (Rust, increasingly Python) into ZK circuits, relevant for any enterprise that wants to prove a computation happened correctly without rebuilding it as a circuit.</w:t>
      </w:r>
    </w:p>
    <w:p>
      <w:pPr>
        <w:pStyle w:val="Heading2"/>
        <w:spacing w:after="160" w:before="320"/>
      </w:pPr>
      <w:r>
        <w:rPr>
          <w:rFonts w:ascii="Arial" w:cs="Arial" w:eastAsia="Arial" w:hAnsi="Arial"/>
          <w:b/>
          <w:bCs/>
          <w:color w:val="2D4A9A"/>
          <w:sz w:val="28"/>
          <w:szCs w:val="28"/>
        </w:rPr>
        <w:t xml:space="preserve">2.2 Fully Homomorphic Encryption</w:t>
      </w:r>
    </w:p>
    <w:p>
      <w:pPr>
        <w:spacing w:after="160" w:line="320"/>
        <w:jc w:val="both"/>
      </w:pPr>
      <w:r>
        <w:rPr>
          <w:rFonts w:ascii="Arial" w:cs="Arial" w:eastAsia="Arial" w:hAnsi="Arial"/>
          <w:color w:val="1F2937"/>
          <w:sz w:val="22"/>
          <w:szCs w:val="22"/>
        </w:rPr>
        <w:t xml:space="preserve">FHE is the primitive that does not require trust in any party, not the operator, not the hardware vendor, not a multi-sig committee. Data is encrypted before it enters the computation, the computation runs entirely on ciphertext, and the result is decrypted only by the data owner. Mathematically equivalent operations on plaintext and ciphertext produce identical results.</w:t>
      </w:r>
    </w:p>
    <w:p>
      <w:pPr>
        <w:spacing w:after="160" w:line="320"/>
        <w:jc w:val="both"/>
      </w:pPr>
      <w:r>
        <w:rPr>
          <w:rFonts w:ascii="Arial" w:cs="Arial" w:eastAsia="Arial" w:hAnsi="Arial"/>
          <w:color w:val="1F2937"/>
          <w:sz w:val="22"/>
          <w:szCs w:val="22"/>
        </w:rPr>
        <w:t xml:space="preserve">Until 2024, FHE was orders of magnitude too slow for blockchain workloads. That has changed. Zama, the Paris-based research company that became the first FHE unicorn in June 2025 with a billion-dollar valuation, launched its Confidential Blockchain Protocol on Ethereum mainnet in late December 2025 and held its $ZAMA token auction in January 2026. Zama's fhEVM gives developers Solidity-compatible encrypted data types, `euint8`, `euint64`, `ebool`, with all arithmetic and boolean operators. Smart contracts can store, compare and operate on encrypted balances, with decryption controlled by an on-chain access-control policy.</w:t>
      </w:r>
    </w:p>
    <w:p>
      <w:pPr>
        <w:spacing w:after="160" w:line="320"/>
        <w:jc w:val="both"/>
      </w:pPr>
      <w:r>
        <w:rPr>
          <w:rFonts w:ascii="Arial" w:cs="Arial" w:eastAsia="Arial" w:hAnsi="Arial"/>
          <w:color w:val="1F2937"/>
          <w:sz w:val="22"/>
          <w:szCs w:val="22"/>
        </w:rPr>
        <w:t xml:space="preserve">The architecture is significant for enterprise: rather than running its own chain, Zama operates as a confidentiality coprocessor over existing L1s and L2s. A confidential token swap, a confidential lending position, a confidential RWA holding, a confidential governance vote: each can be added to existing Ethereum or L2 contracts via Zama's coprocessor model, with FHE computation offloaded to specialised nodes and proofs verified on-chain. Performance is currently around 20 TPS, with a roadmap to 100,000+ TPS pending ASIC hardware acceleration.</w:t>
      </w:r>
    </w:p>
    <w:p>
      <w:pPr>
        <w:spacing w:after="160" w:line="320"/>
        <w:jc w:val="both"/>
      </w:pPr>
      <w:r>
        <w:rPr>
          <w:rFonts w:ascii="Arial" w:cs="Arial" w:eastAsia="Arial" w:hAnsi="Arial"/>
          <w:color w:val="1F2937"/>
          <w:sz w:val="22"/>
          <w:szCs w:val="22"/>
        </w:rPr>
        <w:t xml:space="preserve">FHE's strategic strength is the absence of a trust assumption. Where ZKPs require trust in the proving system's setup (and in the prover's correctness), and TEEs require trust in the chip vendor and side-channel resistance, FHE's confidentiality reduces to standard cryptographic assumptions, TFHE in Zama's case, which is also quantum-resistant. The cost is performance; FHE remains thousands of times slower than plaintext computation, which makes it unsuitable for high-frequency execution but ideal for the slow, high-value workloads (settlement, governance, RWA accounting) where confidentiality matters most.</w:t>
      </w:r>
    </w:p>
    <w:p>
      <w:pPr>
        <w:pStyle w:val="Heading2"/>
        <w:spacing w:after="160" w:before="320"/>
      </w:pPr>
      <w:r>
        <w:rPr>
          <w:rFonts w:ascii="Arial" w:cs="Arial" w:eastAsia="Arial" w:hAnsi="Arial"/>
          <w:b/>
          <w:bCs/>
          <w:color w:val="2D4A9A"/>
          <w:sz w:val="28"/>
          <w:szCs w:val="28"/>
        </w:rPr>
        <w:t xml:space="preserve">2.3 Trusted Execution Environments</w:t>
      </w:r>
    </w:p>
    <w:p>
      <w:pPr>
        <w:spacing w:after="160" w:line="320"/>
        <w:jc w:val="both"/>
      </w:pPr>
      <w:r>
        <w:rPr>
          <w:rFonts w:ascii="Arial" w:cs="Arial" w:eastAsia="Arial" w:hAnsi="Arial"/>
          <w:color w:val="1F2937"/>
          <w:sz w:val="22"/>
          <w:szCs w:val="22"/>
        </w:rPr>
        <w:t xml:space="preserve">A TEE is a sealed area inside a processor that runs code in isolation from the host operating system, the hypervisor, and even the machine's owner. Code is loaded into the enclave, the CPU measures it, and the enclave runs while encrypting all memory access. Remote attestation lets an external verifier confirm the right code is running on a genuine TEE before sending it any sensitive data.</w:t>
      </w:r>
    </w:p>
    <w:p>
      <w:pPr>
        <w:spacing w:after="160" w:line="320"/>
        <w:jc w:val="both"/>
      </w:pPr>
      <w:r>
        <w:rPr>
          <w:rFonts w:ascii="Arial" w:cs="Arial" w:eastAsia="Arial" w:hAnsi="Arial"/>
          <w:color w:val="1F2937"/>
          <w:sz w:val="22"/>
          <w:szCs w:val="22"/>
        </w:rPr>
        <w:t xml:space="preserve">In Web3 in 2026, three TEE families dominate. Intel SGX (legacy, used by Oasis Sapphire and Secret Network) is the most battle-tested but limited in memory and feature set. Intel TDX (Trust Domain Extensions, the modern successor) provides VM-level confidentiality and is used by Phala Network's dstack platform and NEAR AI. AMD SEV-SNP provides similar VM-level guarantees on AMD EPYC silicon. NVIDIA H100 and H200 GPUs added Confidential Computing support in 2024–2025, opening TEE-secured AI inference at production scale.</w:t>
      </w:r>
    </w:p>
    <w:p>
      <w:pPr>
        <w:spacing w:after="160" w:line="320"/>
        <w:jc w:val="both"/>
      </w:pPr>
      <w:r>
        <w:rPr>
          <w:rFonts w:ascii="Arial" w:cs="Arial" w:eastAsia="Arial" w:hAnsi="Arial"/>
          <w:color w:val="1F2937"/>
          <w:sz w:val="22"/>
          <w:szCs w:val="22"/>
        </w:rPr>
        <w:t xml:space="preserve">Phala Network, having completed its November 2025 migration to an Ethereum L2, now processes more than one billion LLM tokens daily across its TEE infrastructure (Intel TDX for general compute, NVIDIA H100/H200 for AI workloads). Its dstack open-source SDK, developed with NEAR AI, lets developers deploy private AI agents and confidential virtual machines with Ethereum-secured remote attestation. Oasis Sapphire offers a confidential EVM runtime under SGX, with a Bitcoin bounty challenge through 2025 designed to test the network's TEE security in adversarial conditions, Oasis remained unaffected by the 2025 Battering Ram and Wiretap research that exploited SGX-with-deterministic-encryption configurations on other platforms, because Sapphire uses SGX v1 without that attack surface.</w:t>
      </w:r>
    </w:p>
    <w:p>
      <w:pPr>
        <w:spacing w:after="160" w:line="320"/>
        <w:jc w:val="both"/>
      </w:pPr>
      <w:r>
        <w:rPr>
          <w:rFonts w:ascii="Arial" w:cs="Arial" w:eastAsia="Arial" w:hAnsi="Arial"/>
          <w:color w:val="1F2937"/>
          <w:sz w:val="22"/>
          <w:szCs w:val="22"/>
        </w:rPr>
        <w:t xml:space="preserve">TEEs make a clear engineering tradeoff. They are the highest-performance confidentiality primitive, TEE-secured workloads run at near-native speed, but the trust model includes the chip manufacturer's attestation infrastructure. The 2025 TEE research disclosures forced the ecosystem to internalise that 'tamper-proof' is a marketing word. Mature TEE deployments now combine TEE attestation with on-chain governance (Phala's dstack, the Decentralized Root of Trust pattern), with multiple independent enclaves producing the same output, or with TEE-plus-MPC architectures for defence in depth.</w:t>
      </w:r>
    </w:p>
    <w:p>
      <w:pPr>
        <w:pStyle w:val="Heading2"/>
        <w:spacing w:after="160" w:before="320"/>
      </w:pPr>
      <w:r>
        <w:rPr>
          <w:rFonts w:ascii="Arial" w:cs="Arial" w:eastAsia="Arial" w:hAnsi="Arial"/>
          <w:b/>
          <w:bCs/>
          <w:color w:val="2D4A9A"/>
          <w:sz w:val="28"/>
          <w:szCs w:val="28"/>
        </w:rPr>
        <w:t xml:space="preserve">2.4 Multi-Party Computation</w:t>
      </w:r>
    </w:p>
    <w:p>
      <w:pPr>
        <w:spacing w:after="160" w:line="320"/>
        <w:jc w:val="both"/>
      </w:pPr>
      <w:r>
        <w:rPr>
          <w:rFonts w:ascii="Arial" w:cs="Arial" w:eastAsia="Arial" w:hAnsi="Arial"/>
          <w:color w:val="1F2937"/>
          <w:sz w:val="22"/>
          <w:szCs w:val="22"/>
        </w:rPr>
        <w:t xml:space="preserve">MPC splits a secret, typically a private key, but generally any sensitive input, across multiple non-colluding parties. The secret is never reconstructed; instead, the parties run a protocol that produces the output (a signature, a computation result) cooperatively. Threshold signature schemes (TSS) are the most widely deployed MPC variant in production, used by every major institutional custodian (Fireblocks, Copper, BitGo, Anchorage, Coinbase Custody) for digital-asset key management.</w:t>
      </w:r>
    </w:p>
    <w:p>
      <w:pPr>
        <w:spacing w:after="160" w:line="320"/>
        <w:jc w:val="both"/>
      </w:pPr>
      <w:r>
        <w:rPr>
          <w:rFonts w:ascii="Arial" w:cs="Arial" w:eastAsia="Arial" w:hAnsi="Arial"/>
          <w:color w:val="1F2937"/>
          <w:sz w:val="22"/>
          <w:szCs w:val="22"/>
        </w:rPr>
        <w:t xml:space="preserve">In a confidential Web3 architecture, MPC plays two roles. First, as the custody primitive: an enterprise's signing key is split among signers in different geographies and organisations, with policy logic enforced in a programmable way. Second, as the decryption committee for FHE and TEE-based systems: Zama's fhEVM, for example, uses a threshold MPC committee to manage the FHE decryption key, ensuring that no single operator can decrypt user data unilaterally. This composition, MPC for key management, FHE or TEE for computation, is increasingly the institutional default.</w:t>
      </w:r>
    </w:p>
    <w:p>
      <w:pPr>
        <w:pStyle w:val="Heading2"/>
        <w:spacing w:after="160" w:before="320"/>
      </w:pPr>
      <w:r>
        <w:rPr>
          <w:rFonts w:ascii="Arial" w:cs="Arial" w:eastAsia="Arial" w:hAnsi="Arial"/>
          <w:b/>
          <w:bCs/>
          <w:color w:val="2D4A9A"/>
          <w:sz w:val="28"/>
          <w:szCs w:val="28"/>
        </w:rPr>
        <w:t xml:space="preserve">2.5 Comparing the primitives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1900"/>
        <w:gridCol w:w="1900"/>
        <w:gridCol w:w="1900"/>
        <w:gridCol w:w="1960"/>
      </w:tblGrid>
      <w:tr>
        <w:trPr>
          <w:tblHeader/>
        </w:trPr>
        <w:tc>
          <w:tcPr>
            <w:tcW w:type="dxa" w:w="1900"/>
            <w:tcBorders>
              <w:top w:val="single" w:color="CCCCCC" w:sz="1"/>
              <w:left w:val="single" w:color="CCCCCC" w:sz="1"/>
              <w:bottom w:val="single" w:color="CCCCCC" w:sz="1"/>
              <w:right w:val="single" w:color="CCCCCC" w:sz="1"/>
            </w:tcBorders>
            <w:shd w:fill="2D4A9A" w:val="clear"/>
            <w:tcMar>
              <w:top w:type="dxa" w:w="100"/>
              <w:left w:type="dxa" w:w="120"/>
              <w:bottom w:type="dxa" w:w="100"/>
              <w:right w:type="dxa" w:w="120"/>
            </w:tcMar>
          </w:tcPr>
          <w:p>
            <w:r>
              <w:rPr>
                <w:rFonts w:ascii="Arial" w:cs="Arial" w:eastAsia="Arial" w:hAnsi="Arial"/>
                <w:b/>
                <w:bCs/>
                <w:color w:val="FFFFFF"/>
                <w:sz w:val="20"/>
                <w:szCs w:val="20"/>
              </w:rPr>
              <w:t xml:space="preserve">Property</w:t>
            </w:r>
          </w:p>
        </w:tc>
        <w:tc>
          <w:tcPr>
            <w:tcW w:type="dxa" w:w="1900"/>
            <w:tcBorders>
              <w:top w:val="single" w:color="CCCCCC" w:sz="1"/>
              <w:left w:val="single" w:color="CCCCCC" w:sz="1"/>
              <w:bottom w:val="single" w:color="CCCCCC" w:sz="1"/>
              <w:right w:val="single" w:color="CCCCCC" w:sz="1"/>
            </w:tcBorders>
            <w:shd w:fill="2D4A9A" w:val="clear"/>
            <w:tcMar>
              <w:top w:type="dxa" w:w="100"/>
              <w:left w:type="dxa" w:w="120"/>
              <w:bottom w:type="dxa" w:w="100"/>
              <w:right w:type="dxa" w:w="120"/>
            </w:tcMar>
          </w:tcPr>
          <w:p>
            <w:r>
              <w:rPr>
                <w:rFonts w:ascii="Arial" w:cs="Arial" w:eastAsia="Arial" w:hAnsi="Arial"/>
                <w:b/>
                <w:bCs/>
                <w:color w:val="FFFFFF"/>
                <w:sz w:val="20"/>
                <w:szCs w:val="20"/>
              </w:rPr>
              <w:t xml:space="preserve">ZK proofs</w:t>
            </w:r>
          </w:p>
        </w:tc>
        <w:tc>
          <w:tcPr>
            <w:tcW w:type="dxa" w:w="1900"/>
            <w:tcBorders>
              <w:top w:val="single" w:color="CCCCCC" w:sz="1"/>
              <w:left w:val="single" w:color="CCCCCC" w:sz="1"/>
              <w:bottom w:val="single" w:color="CCCCCC" w:sz="1"/>
              <w:right w:val="single" w:color="CCCCCC" w:sz="1"/>
            </w:tcBorders>
            <w:shd w:fill="2D4A9A" w:val="clear"/>
            <w:tcMar>
              <w:top w:type="dxa" w:w="100"/>
              <w:left w:type="dxa" w:w="120"/>
              <w:bottom w:type="dxa" w:w="100"/>
              <w:right w:type="dxa" w:w="120"/>
            </w:tcMar>
          </w:tcPr>
          <w:p>
            <w:r>
              <w:rPr>
                <w:rFonts w:ascii="Arial" w:cs="Arial" w:eastAsia="Arial" w:hAnsi="Arial"/>
                <w:b/>
                <w:bCs/>
                <w:color w:val="FFFFFF"/>
                <w:sz w:val="20"/>
                <w:szCs w:val="20"/>
              </w:rPr>
              <w:t xml:space="preserve">FHE</w:t>
            </w:r>
          </w:p>
        </w:tc>
        <w:tc>
          <w:tcPr>
            <w:tcW w:type="dxa" w:w="1900"/>
            <w:tcBorders>
              <w:top w:val="single" w:color="CCCCCC" w:sz="1"/>
              <w:left w:val="single" w:color="CCCCCC" w:sz="1"/>
              <w:bottom w:val="single" w:color="CCCCCC" w:sz="1"/>
              <w:right w:val="single" w:color="CCCCCC" w:sz="1"/>
            </w:tcBorders>
            <w:shd w:fill="2D4A9A" w:val="clear"/>
            <w:tcMar>
              <w:top w:type="dxa" w:w="100"/>
              <w:left w:type="dxa" w:w="120"/>
              <w:bottom w:type="dxa" w:w="100"/>
              <w:right w:type="dxa" w:w="120"/>
            </w:tcMar>
          </w:tcPr>
          <w:p>
            <w:r>
              <w:rPr>
                <w:rFonts w:ascii="Arial" w:cs="Arial" w:eastAsia="Arial" w:hAnsi="Arial"/>
                <w:b/>
                <w:bCs/>
                <w:color w:val="FFFFFF"/>
                <w:sz w:val="20"/>
                <w:szCs w:val="20"/>
              </w:rPr>
              <w:t xml:space="preserve">TEE</w:t>
            </w:r>
          </w:p>
        </w:tc>
        <w:tc>
          <w:tcPr>
            <w:tcW w:type="dxa" w:w="1900"/>
            <w:tcBorders>
              <w:top w:val="single" w:color="CCCCCC" w:sz="1"/>
              <w:left w:val="single" w:color="CCCCCC" w:sz="1"/>
              <w:bottom w:val="single" w:color="CCCCCC" w:sz="1"/>
              <w:right w:val="single" w:color="CCCCCC" w:sz="1"/>
            </w:tcBorders>
            <w:shd w:fill="2D4A9A" w:val="clear"/>
            <w:tcMar>
              <w:top w:type="dxa" w:w="100"/>
              <w:left w:type="dxa" w:w="120"/>
              <w:bottom w:type="dxa" w:w="100"/>
              <w:right w:type="dxa" w:w="120"/>
            </w:tcMar>
          </w:tcPr>
          <w:p>
            <w:r>
              <w:rPr>
                <w:rFonts w:ascii="Arial" w:cs="Arial" w:eastAsia="Arial" w:hAnsi="Arial"/>
                <w:b/>
                <w:bCs/>
                <w:color w:val="FFFFFF"/>
                <w:sz w:val="20"/>
                <w:szCs w:val="20"/>
              </w:rPr>
              <w:t xml:space="preserve">MPC</w:t>
            </w:r>
          </w:p>
        </w:tc>
      </w:tr>
      <w:tr>
        <w:tc>
          <w:tcPr>
            <w:tcW w:type="dxa" w:w="19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Trust assumption</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Soundness of proof system</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Standard crypto (TFHE)</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Hardware vendor + attestation</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Honesty of m-of-n parties</w:t>
            </w:r>
          </w:p>
        </w:tc>
      </w:tr>
      <w:tr>
        <w:tc>
          <w:tcPr>
            <w:tcW w:type="dxa" w:w="19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Performance</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Moderate (proving cost)</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Slow (1000x+ overhead)</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Near-native</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Fast</w:t>
            </w:r>
          </w:p>
        </w:tc>
      </w:tr>
      <w:tr>
        <w:tc>
          <w:tcPr>
            <w:tcW w:type="dxa" w:w="19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Confidentiality scope</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Selective disclosure of inputs</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Full input + output privacy</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Full input + output privacy</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Key + computation privacy</w:t>
            </w:r>
          </w:p>
        </w:tc>
      </w:tr>
      <w:tr>
        <w:tc>
          <w:tcPr>
            <w:tcW w:type="dxa" w:w="19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Hardware dependency</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None (software only)</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None (software only)</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Yes (Intel/AMD/NVIDIA)</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None (software only)</w:t>
            </w:r>
          </w:p>
        </w:tc>
      </w:tr>
      <w:tr>
        <w:tc>
          <w:tcPr>
            <w:tcW w:type="dxa" w:w="19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Quantum resistance</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Depends on scheme</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Yes (lattice-based)</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Independent of scheme</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Depends on scheme</w:t>
            </w:r>
          </w:p>
        </w:tc>
      </w:tr>
      <w:tr>
        <w:tc>
          <w:tcPr>
            <w:tcW w:type="dxa" w:w="19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Production examples 2026</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Aztec, Aleo, Railgun, RISC Zero</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Zama fhEVM, Inco, Mind Network</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Phala, Oasis, Marlin, Secret</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Fireblocks, Copper, Lit, Silence</w:t>
            </w:r>
          </w:p>
        </w:tc>
      </w:tr>
    </w:tbl>
    <w:p>
      <w:pPr>
        <w:spacing w:after="160" w:line="320"/>
        <w:jc w:val="both"/>
      </w:pPr>
      <w:r>
        <w:rPr>
          <w:rFonts w:ascii="Arial" w:cs="Arial" w:eastAsia="Arial" w:hAnsi="Arial"/>
          <w:color w:val="1F2937"/>
          <w:sz w:val="22"/>
          <w:szCs w:val="22"/>
        </w:rPr>
        <w:t xml:space="preserve">The pragmatic 2026 framing: ZKPs are the default for selective disclosure and verifiable computation; FHE is the right answer when computation must happen on data the operator must never see; TEEs are the right answer for high-throughput confidential workloads where hardware trust is acceptable; MPC is the right answer for key management and as a decryption committee that depends on no single party. Most production confidential-Web3 systems combine three of the four.</w:t>
      </w:r>
    </w:p>
    <w:p>
      <w:r>
        <w:br w:type="page"/>
      </w:r>
    </w:p>
    <w:p>
      <w:pPr>
        <w:pStyle w:val="Heading1"/>
        <w:spacing w:after="240" w:before="480"/>
      </w:pPr>
      <w:r>
        <w:rPr>
          <w:rFonts w:ascii="Arial" w:cs="Arial" w:eastAsia="Arial" w:hAnsi="Arial"/>
          <w:b/>
          <w:bCs/>
          <w:color w:val="2D4A9A"/>
          <w:sz w:val="36"/>
          <w:szCs w:val="36"/>
        </w:rPr>
        <w:t xml:space="preserve">3. Regulated Privacy in Practice</w:t>
      </w:r>
    </w:p>
    <w:p>
      <w:pPr>
        <w:spacing w:after="160" w:line="320"/>
        <w:jc w:val="both"/>
      </w:pPr>
      <w:r>
        <w:rPr>
          <w:rFonts w:ascii="Arial" w:cs="Arial" w:eastAsia="Arial" w:hAnsi="Arial"/>
          <w:color w:val="1F2937"/>
          <w:sz w:val="22"/>
          <w:szCs w:val="22"/>
        </w:rPr>
        <w:t xml:space="preserve">The sharpest historical objection to on-chain privacy was regulatory: any privacy protocol could be, and in some cases was, used to launder funds, with the Tornado Cash sanction of August 2022 setting the prevailing legal mood for two years. The 2025–2026 inflection point is that a credible architecture for regulated privacy now exists, and is being publicly endorsed by ecosystem leaders.</w:t>
      </w:r>
    </w:p>
    <w:p>
      <w:pPr>
        <w:spacing w:after="160" w:line="320"/>
        <w:jc w:val="both"/>
      </w:pPr>
      <w:r>
        <w:rPr>
          <w:rFonts w:ascii="Arial" w:cs="Arial" w:eastAsia="Arial" w:hAnsi="Arial"/>
          <w:color w:val="1F2937"/>
          <w:sz w:val="22"/>
          <w:szCs w:val="22"/>
        </w:rPr>
        <w:t xml:space="preserve">The pivotal mechanism is the Privacy Pool, formalised in a 2023 paper co-authored by Vitalik Buterin and implemented in production by Railgun and 0xbow. The mechanism is intentionally simple. Anyone can deposit assets into a privacy pool. After deposit, an algorithmic filter screens the deposit against association sets, curated lists of either explicitly-licit or known-illicit addresses. If the deposit passes the filter, after a short delay the depositor can withdraw privately into a fresh address, with a zero-knowledge proof attesting that the withdrawal came from a legitimate deposit. If the deposit fails the filter, for example, because it can be traced to known criminal activity, the funds are not seized, but the depositor can only withdraw back to the original sending address. Privacy is preserved for legitimate users; the pool is hostile to laundered funds without backdoors or asset seizure.</w:t>
      </w:r>
    </w:p>
    <w:p>
      <w:pPr>
        <w:spacing w:after="160" w:line="320"/>
        <w:jc w:val="both"/>
      </w:pPr>
      <w:r>
        <w:rPr>
          <w:rFonts w:ascii="Arial" w:cs="Arial" w:eastAsia="Arial" w:hAnsi="Arial"/>
          <w:color w:val="1F2937"/>
          <w:sz w:val="22"/>
          <w:szCs w:val="22"/>
        </w:rPr>
        <w:t xml:space="preserve">Railgun demonstrated this mechanism operationally on 12 February 2025, when the zkLend exploiter attempted to launder approximately 3,600 ETH ($9.5 million) through Railgun and was automatically returned to the original wallet. Buterin called the event 'a solid demonstration of Railgun's privacy pools mechanism working in practice, allowing Railgun to avoid serving proceeds of crime without using any snooping or backdoors.' By April 2024 the RAIL token had jumped 150% on Buterin's public endorsement; in October 2025, the Ethereum Foundation launched Kohaku, a privacy-preserving wallet framework integrating Railgun and 0xbow's Privacy Pools as core primitives. At Devcon in November 2025, Buterin demonstrated the Kohaku wallet shielding funds via Railgun and described full-stack privacy and security as 'first-class priorities in Ethereum.'</w:t>
      </w:r>
    </w:p>
    <w:p>
      <w:pPr>
        <w:pBdr>
          <w:left w:val="single" w:color="35BEF0" w:sz="24" w:space="8"/>
        </w:pBdr>
        <w:shd w:fill="F1F5FF" w:val="clear"/>
        <w:spacing w:after="240" w:before="240" w:line="320"/>
        <w:ind w:left="360" w:right="240"/>
        <w:jc w:val="left"/>
      </w:pPr>
      <w:r>
        <w:rPr>
          <w:rFonts w:ascii="Arial" w:cs="Arial" w:eastAsia="Arial" w:hAnsi="Arial"/>
          <w:i/>
          <w:iCs/>
          <w:color w:val="1F2937"/>
          <w:sz w:val="22"/>
          <w:szCs w:val="22"/>
        </w:rPr>
        <w:t xml:space="preserve">The era of 'all privacy is suspicious' is over. The era of 'privacy must be selectively disclosable to regulators when required' has begun, and Privacy Pools are the canonical primitive for it.</w:t>
      </w:r>
    </w:p>
    <w:p>
      <w:pPr>
        <w:spacing w:after="160" w:line="320"/>
        <w:jc w:val="both"/>
      </w:pPr>
      <w:r>
        <w:rPr>
          <w:rFonts w:ascii="Arial" w:cs="Arial" w:eastAsia="Arial" w:hAnsi="Arial"/>
          <w:color w:val="1F2937"/>
          <w:sz w:val="22"/>
          <w:szCs w:val="22"/>
        </w:rPr>
        <w:t xml:space="preserve">The strategic implication for enterprise architects is concrete. A 2026 confidential-Web3 deployment for a regulated counterparty does not need to choose between transparency and shielded transactions. It chooses among different shielding regimes: different association-set policies, different selective-disclosure rules, different regulator-facing viewing keys. The policy is instrumented in code. The European Banking Authority has not yet endorsed any specific privacy pool, but its draft guidance on confidential financial market infrastructure has explicitly accepted the architecture in principle, and at least three major European banks are running Privacy Pool-style pilots under direct supervisory engagement.</w:t>
      </w:r>
    </w:p>
    <w:p>
      <w:pPr>
        <w:spacing w:after="160" w:line="320"/>
        <w:jc w:val="both"/>
      </w:pPr>
      <w:r>
        <w:rPr>
          <w:rFonts w:ascii="Arial" w:cs="Arial" w:eastAsia="Arial" w:hAnsi="Arial"/>
          <w:color w:val="1F2937"/>
          <w:sz w:val="22"/>
          <w:szCs w:val="22"/>
        </w:rPr>
        <w:t xml:space="preserve">For institutional treasurers, the immediate practical use cases are confidential payroll, confidential rebalancing, confidential supplier payments, and confidential M&amp;A financing. The historic objection, 'we cannot do this on a public chain because counterparties will see our positions', has lost its force. The 2026 question is which shielded-pool implementation, with which compliance integrations, is appropriate for the workload.</w:t>
      </w:r>
    </w:p>
    <w:p>
      <w:pPr>
        <w:pStyle w:val="Heading1"/>
        <w:spacing w:after="240" w:before="480"/>
      </w:pPr>
      <w:r>
        <w:rPr>
          <w:rFonts w:ascii="Arial" w:cs="Arial" w:eastAsia="Arial" w:hAnsi="Arial"/>
          <w:b/>
          <w:bCs/>
          <w:color w:val="2D4A9A"/>
          <w:sz w:val="36"/>
          <w:szCs w:val="36"/>
        </w:rPr>
        <w:t xml:space="preserve">4. The Identity Layer: zk-KYC, Verifiable Credentials and the EUDI Wallet</w:t>
      </w:r>
    </w:p>
    <w:p>
      <w:pPr>
        <w:spacing w:after="160" w:line="320"/>
        <w:jc w:val="both"/>
      </w:pPr>
      <w:r>
        <w:rPr>
          <w:rFonts w:ascii="Arial" w:cs="Arial" w:eastAsia="Arial" w:hAnsi="Arial"/>
          <w:color w:val="1F2937"/>
          <w:sz w:val="22"/>
          <w:szCs w:val="22"/>
        </w:rPr>
        <w:t xml:space="preserve">Confidentiality on the transaction layer is only half the architecture. The other half is identity, proving who is acting, without revealing more than the counterparty needs. In 2026, this is the layer where the most concrete regulatory mandates are landing.</w:t>
      </w:r>
    </w:p>
    <w:p>
      <w:pPr>
        <w:pStyle w:val="Heading2"/>
        <w:spacing w:after="160" w:before="320"/>
      </w:pPr>
      <w:r>
        <w:rPr>
          <w:rFonts w:ascii="Arial" w:cs="Arial" w:eastAsia="Arial" w:hAnsi="Arial"/>
          <w:b/>
          <w:bCs/>
          <w:color w:val="2D4A9A"/>
          <w:sz w:val="28"/>
          <w:szCs w:val="28"/>
        </w:rPr>
        <w:t xml:space="preserve">The eIDAS 2.0 mandate</w:t>
      </w:r>
    </w:p>
    <w:p>
      <w:pPr>
        <w:spacing w:after="160" w:line="320"/>
        <w:jc w:val="both"/>
      </w:pPr>
      <w:r>
        <w:rPr>
          <w:rFonts w:ascii="Arial" w:cs="Arial" w:eastAsia="Arial" w:hAnsi="Arial"/>
          <w:color w:val="1F2937"/>
          <w:sz w:val="22"/>
          <w:szCs w:val="22"/>
        </w:rPr>
        <w:t xml:space="preserve">Regulation (EU) 2024/1183, the eIDAS 2.0 regulation, entered into force on 20 May 2024 and mandates that every EU member state must make at least one European Digital Identity Wallet (EUDI Wallet) available to its citizens and residents by 31 December 2026. By 2030, the EU's adoption target is 80% of citizens. Large-scale pilots involving over 350 companies and government agencies have been running across 26 member states throughout 2025–2026, testing real-world applications from mobile driving licences and educational credentials to banking onboarding and healthcare records.</w:t>
      </w:r>
    </w:p>
    <w:p>
      <w:pPr>
        <w:spacing w:after="160" w:line="320"/>
        <w:jc w:val="both"/>
      </w:pPr>
      <w:r>
        <w:rPr>
          <w:rFonts w:ascii="Arial" w:cs="Arial" w:eastAsia="Arial" w:hAnsi="Arial"/>
          <w:color w:val="1F2937"/>
          <w:sz w:val="22"/>
          <w:szCs w:val="22"/>
        </w:rPr>
        <w:t xml:space="preserve">The EUDI Wallet's architectural significance for Web3 is that the regulation explicitly mandates selective disclosure: 'where attestation of attributes does not require the identification of the user, zero knowledge attestation shall be performed.' The EUDI Wallet Architecture and Reference Framework requires Selective Disclosure for JSON Web Tokens (SD-JWT) and the ISO/IEC 18013-5 mDoc scheme as baseline mechanisms; ZK-based mechanisms are explicitly within scope for future phases. For the first time, a major Western regulator has mandated, by deadline, that identity verification systems must be capable of proving attributes (over 18, citizen of country X, qualified professional in field Y) without revealing the underlying credential.</w:t>
      </w:r>
    </w:p>
    <w:p>
      <w:pPr>
        <w:spacing w:after="160" w:line="320"/>
        <w:jc w:val="both"/>
      </w:pPr>
      <w:r>
        <w:rPr>
          <w:rFonts w:ascii="Arial" w:cs="Arial" w:eastAsia="Arial" w:hAnsi="Arial"/>
          <w:color w:val="1F2937"/>
          <w:sz w:val="22"/>
          <w:szCs w:val="22"/>
        </w:rPr>
        <w:t xml:space="preserve">The UK is on a parallel track under the Financial Services and Markets Act 2023, with a planned EUDI-Wallet-equivalent rollout from September 2026. UK organisations operating in cross-border markets will need a dual identity strategy.</w:t>
      </w:r>
    </w:p>
    <w:p>
      <w:pPr>
        <w:pStyle w:val="Heading2"/>
        <w:spacing w:after="160" w:before="320"/>
      </w:pPr>
      <w:r>
        <w:rPr>
          <w:rFonts w:ascii="Arial" w:cs="Arial" w:eastAsia="Arial" w:hAnsi="Arial"/>
          <w:b/>
          <w:bCs/>
          <w:color w:val="2D4A9A"/>
          <w:sz w:val="28"/>
          <w:szCs w:val="28"/>
        </w:rPr>
        <w:t xml:space="preserve">Verifiable credentials and the W3C standard</w:t>
      </w:r>
    </w:p>
    <w:p>
      <w:pPr>
        <w:spacing w:after="160" w:line="320"/>
        <w:jc w:val="both"/>
      </w:pPr>
      <w:r>
        <w:rPr>
          <w:rFonts w:ascii="Arial" w:cs="Arial" w:eastAsia="Arial" w:hAnsi="Arial"/>
          <w:color w:val="1F2937"/>
          <w:sz w:val="22"/>
          <w:szCs w:val="22"/>
        </w:rPr>
        <w:t xml:space="preserve">Underneath the EUDI Wallet sits the W3C Verifiable Credentials data model (v2.0, 2025), which has emerged as the de facto international standard for cryptographically-signed digital credentials. A Verifiable Credential (VC) is issued by a trusted authority (a government, a bank, a university), held by the subject (in their wallet), and presented selectively to a verifier with cryptographic proof of authenticity. The same model anchors Singapore's National Digital Identity (NDI), the US Department of Homeland Security's Verifiable Credentials work, and the FATF's June 2025 update to Recommendation 16 (Travel Rule) which explicitly aligned cross-border crypto-asset transfer information requirements with W3C VC v2.0.</w:t>
      </w:r>
    </w:p>
    <w:p>
      <w:pPr>
        <w:spacing w:after="160" w:line="320"/>
        <w:jc w:val="both"/>
      </w:pPr>
      <w:r>
        <w:rPr>
          <w:rFonts w:ascii="Arial" w:cs="Arial" w:eastAsia="Arial" w:hAnsi="Arial"/>
          <w:color w:val="1F2937"/>
          <w:sz w:val="22"/>
          <w:szCs w:val="22"/>
        </w:rPr>
        <w:t xml:space="preserve">For Web3 architectures, this means that off-chain credentials issued by regulated authorities can now be presented on-chain via ZK proofs. A user holds a 'KYC verified' credential from a regulated VASP. When they interact with a DeFi protocol, the protocol verifies a ZK proof that the user is KYC-verified, that the credential has not been revoked, and that the user is not in a sanctioned jurisdiction, without learning the user's name, country of residence, or any other personal data. The same primitive supports compliance-aware DeFi pools, regulated stablecoin payments, sanctions screening, and Travel-Rule-compliant transfers.</w:t>
      </w:r>
    </w:p>
    <w:p>
      <w:pPr>
        <w:pStyle w:val="Heading2"/>
        <w:spacing w:after="160" w:before="320"/>
      </w:pPr>
      <w:r>
        <w:rPr>
          <w:rFonts w:ascii="Arial" w:cs="Arial" w:eastAsia="Arial" w:hAnsi="Arial"/>
          <w:b/>
          <w:bCs/>
          <w:color w:val="2D4A9A"/>
          <w:sz w:val="28"/>
          <w:szCs w:val="28"/>
        </w:rPr>
        <w:t xml:space="preserve">zk-KYC in production</w:t>
      </w:r>
    </w:p>
    <w:p>
      <w:pPr>
        <w:spacing w:after="160" w:line="320"/>
        <w:jc w:val="both"/>
      </w:pPr>
      <w:r>
        <w:rPr>
          <w:rFonts w:ascii="Arial" w:cs="Arial" w:eastAsia="Arial" w:hAnsi="Arial"/>
          <w:color w:val="1F2937"/>
          <w:sz w:val="22"/>
          <w:szCs w:val="22"/>
        </w:rPr>
        <w:t xml:space="preserve">Several patterns are now operational. Polygon ID and Privado ID let users hold KYC credentials and prove derived statements (over 18, accredited investor, non-sanctioned). Anon Aadhaar, a ZK circuit over India's Aadhaar national ID, lets users prove Indian citizenship and other Aadhaar attributes without revealing their identifier. The zk-X509 paper (Tokamak Network, March 2026) proposes leveraging the four billion-plus active X.509 digital certificates already issued by government and corporate certificate authorities as a globally-deployed identity foundation, with zero-knowledge proofs of certificate validity costing approximately 300,000 gas under Groth16. The institutional pattern is clear: re-use existing trust infrastructure (passports, eID systems, X.509 PKI) to bootstrap on-chain identity, rather than rebuilding it from zero.</w:t>
      </w:r>
    </w:p>
    <w:p>
      <w:pPr>
        <w:spacing w:after="160" w:line="320"/>
        <w:jc w:val="both"/>
      </w:pPr>
      <w:r>
        <w:rPr>
          <w:rFonts w:ascii="Arial" w:cs="Arial" w:eastAsia="Arial" w:hAnsi="Arial"/>
          <w:color w:val="1F2937"/>
          <w:sz w:val="22"/>
          <w:szCs w:val="22"/>
        </w:rPr>
        <w:t xml:space="preserve">The intersection of confidential transactions and selective-disclosure identity is what enables the regulator-credible private DeFi pools that several institutions are now piloting. The transaction layer hides the trade; the identity layer proves the trader is verified, sanctioned-clear, and from a permitted jurisdiction. The compliance officer sees the audit trail; the counterparty does not see the trade detail. This is the architecture institutional DeFi has been waiting for.</w:t>
      </w:r>
    </w:p>
    <w:p>
      <w:pPr>
        <w:pStyle w:val="Heading1"/>
        <w:spacing w:after="240" w:before="480"/>
      </w:pPr>
      <w:r>
        <w:rPr>
          <w:rFonts w:ascii="Arial" w:cs="Arial" w:eastAsia="Arial" w:hAnsi="Arial"/>
          <w:b/>
          <w:bCs/>
          <w:color w:val="2D4A9A"/>
          <w:sz w:val="36"/>
          <w:szCs w:val="36"/>
        </w:rPr>
        <w:t xml:space="preserve">5. Verifiable AI and Confidential Computation</w:t>
      </w:r>
    </w:p>
    <w:p>
      <w:pPr>
        <w:spacing w:after="160" w:line="320"/>
        <w:jc w:val="both"/>
      </w:pPr>
      <w:r>
        <w:rPr>
          <w:rFonts w:ascii="Arial" w:cs="Arial" w:eastAsia="Arial" w:hAnsi="Arial"/>
          <w:color w:val="1F2937"/>
          <w:sz w:val="22"/>
          <w:szCs w:val="22"/>
        </w:rPr>
        <w:t xml:space="preserve">The fastest-growing privacy use case in 2026 is not financial. It is AI. As enterprises deploy AI agents that hold private data, make consequential decisions and increasingly transact on behalf of humans, the question of whether you can trust the inference becomes load-bearing. The confidentiality primitives in this paper are converging with the AI infrastructure stack to produce a category that did not exist eighteen months ago: verifiable, confidential AI.</w:t>
      </w:r>
    </w:p>
    <w:p>
      <w:pPr>
        <w:pStyle w:val="Heading3"/>
        <w:spacing w:after="120" w:before="240"/>
      </w:pPr>
      <w:r>
        <w:rPr>
          <w:rFonts w:ascii="Arial" w:cs="Arial" w:eastAsia="Arial" w:hAnsi="Arial"/>
          <w:b/>
          <w:bCs/>
          <w:color w:val="1F2937"/>
          <w:sz w:val="24"/>
          <w:szCs w:val="24"/>
        </w:rPr>
        <w:t xml:space="preserve">Three paths to verifiable inference</w:t>
      </w:r>
    </w:p>
    <w:p>
      <w:pPr>
        <w:spacing w:after="160" w:line="320"/>
        <w:jc w:val="both"/>
      </w:pPr>
      <w:r>
        <w:rPr>
          <w:rFonts w:ascii="Arial" w:cs="Arial" w:eastAsia="Arial" w:hAnsi="Arial"/>
          <w:b/>
          <w:bCs/>
          <w:color w:val="1F2937"/>
          <w:sz w:val="22"/>
          <w:szCs w:val="22"/>
        </w:rPr>
        <w:t xml:space="preserve">Path 1, Zero-knowledge ML (zkML).</w:t>
      </w:r>
      <w:r>
        <w:rPr>
          <w:rFonts w:ascii="Arial" w:cs="Arial" w:eastAsia="Arial" w:hAnsi="Arial"/>
          <w:color w:val="1F2937"/>
          <w:sz w:val="22"/>
          <w:szCs w:val="22"/>
        </w:rPr>
        <w:t xml:space="preserve"> The model owner produces a zero-knowledge proof that an inference was computed correctly under a given model, without revealing the model weights or the input. zkPyTorch (March 2025) proves VGG-16 inference in 2.2 seconds; Lagrange's DeepProve tackled large LLM inference in August 2025; Modulus Labs and EZKL have driven proving-system efficiency to the point where production zkML use cases are shipping. The trust assumption is purely cryptographic, no operator, no hardware vendor, but proving costs remain orders of magnitude above plaintext inference.</w:t>
      </w:r>
    </w:p>
    <w:p>
      <w:pPr>
        <w:spacing w:after="160" w:line="320"/>
        <w:jc w:val="both"/>
      </w:pPr>
      <w:r>
        <w:rPr>
          <w:rFonts w:ascii="Arial" w:cs="Arial" w:eastAsia="Arial" w:hAnsi="Arial"/>
          <w:b/>
          <w:bCs/>
          <w:color w:val="1F2937"/>
          <w:sz w:val="22"/>
          <w:szCs w:val="22"/>
        </w:rPr>
        <w:t xml:space="preserve">Path 2, TEE-secured inference.</w:t>
      </w:r>
      <w:r>
        <w:rPr>
          <w:rFonts w:ascii="Arial" w:cs="Arial" w:eastAsia="Arial" w:hAnsi="Arial"/>
          <w:color w:val="1F2937"/>
          <w:sz w:val="22"/>
          <w:szCs w:val="22"/>
        </w:rPr>
        <w:t xml:space="preserve"> Inference runs inside a hardware-isolated enclave (Intel TDX, NVIDIA H100/H200 confidential computing). Remote attestation proves to the user that the right model is running on genuine hardware, the inputs are encrypted in transit, and outputs are signed by the enclave. Phala's dstack platform and NEAR AI's TEE infrastructure are the production exemplars. The performance profile matches plaintext inference; the trust assumption includes the chip vendor's attestation chain.</w:t>
      </w:r>
    </w:p>
    <w:p>
      <w:pPr>
        <w:spacing w:after="160" w:line="320"/>
        <w:jc w:val="both"/>
      </w:pPr>
      <w:r>
        <w:rPr>
          <w:rFonts w:ascii="Arial" w:cs="Arial" w:eastAsia="Arial" w:hAnsi="Arial"/>
          <w:b/>
          <w:bCs/>
          <w:color w:val="1F2937"/>
          <w:sz w:val="22"/>
          <w:szCs w:val="22"/>
        </w:rPr>
        <w:t xml:space="preserve">Path 3, Optimistic verification with cryptoeconomic slashing.</w:t>
      </w:r>
      <w:r>
        <w:rPr>
          <w:rFonts w:ascii="Arial" w:cs="Arial" w:eastAsia="Arial" w:hAnsi="Arial"/>
          <w:color w:val="1F2937"/>
          <w:sz w:val="22"/>
          <w:szCs w:val="22"/>
        </w:rPr>
        <w:t xml:space="preserve"> EigenAI, the verifiable-inference layer built on EigenLayer's restaking, makes a different bet. Inference runs on commodity GPUs in a deterministic mode (LayerCast, batch-invariant kernels), achieving bit-exact reproducibility across 10,000 test runs with under 2% performance overhead. If a result is challenged, validators re-execute on the same fixed GPU architecture and compare bytes. EigenAI is secured by approximately $11 billion of restaked ETH; dishonest operators are slashed. The trust assumption is the cryptoeconomic security of the AVS, strong, but not the same as cryptographic certainty.</w:t>
      </w:r>
    </w:p>
    <w:p>
      <w:pPr>
        <w:spacing w:after="160" w:line="320"/>
        <w:jc w:val="both"/>
      </w:pPr>
      <w:r>
        <w:rPr>
          <w:rFonts w:ascii="Arial" w:cs="Arial" w:eastAsia="Arial" w:hAnsi="Arial"/>
          <w:color w:val="1F2937"/>
          <w:sz w:val="22"/>
          <w:szCs w:val="22"/>
        </w:rPr>
        <w:t xml:space="preserve">For enterprise procurement in 2026, the choice depends on the workload. A high-stakes regulated decision (fraud screening, automated underwriting, public-sector benefits assessment) where the inference cost is small relative to the consequence of an undetected error favours zkML. A high-throughput consumer AI workload (recommendation, personalisation, agent-to-agent payment routing) favours TEE-secured inference. A middle-tier workload (institutional DeFi agents, RWA price oracles, governance assistants) favours optimistic-verification systems like EigenAI.</w:t>
      </w:r>
    </w:p>
    <w:p>
      <w:pPr>
        <w:spacing w:after="160" w:line="320"/>
        <w:jc w:val="both"/>
      </w:pPr>
      <w:r>
        <w:rPr>
          <w:rFonts w:ascii="Arial" w:cs="Arial" w:eastAsia="Arial" w:hAnsi="Arial"/>
          <w:color w:val="1F2937"/>
          <w:sz w:val="22"/>
          <w:szCs w:val="22"/>
        </w:rPr>
        <w:t xml:space="preserve">MMXX Dynamics' enterprise customers have begun integrating verifiable inference primarily as the trust layer for AI-driven compliance: fraud-detection models whose outputs are admissible to regulators, AML screening whose decision-traces are auditable, and contract-summarisation models whose outputs can be cryptographically attributed to a specific model version. The category will be one of the largest enterprise Web3 spend lines by 2027.</w:t>
      </w:r>
    </w:p>
    <w:p>
      <w:r>
        <w:br w:type="page"/>
      </w:r>
    </w:p>
    <w:p>
      <w:pPr>
        <w:pStyle w:val="Heading1"/>
        <w:spacing w:after="240" w:before="480"/>
      </w:pPr>
      <w:r>
        <w:rPr>
          <w:rFonts w:ascii="Arial" w:cs="Arial" w:eastAsia="Arial" w:hAnsi="Arial"/>
          <w:b/>
          <w:bCs/>
          <w:color w:val="2D4A9A"/>
          <w:sz w:val="36"/>
          <w:szCs w:val="36"/>
        </w:rPr>
        <w:t xml:space="preserve">6. Reference Architectures by Sector</w:t>
      </w:r>
    </w:p>
    <w:p>
      <w:pPr>
        <w:spacing w:after="160" w:line="320"/>
        <w:jc w:val="both"/>
      </w:pPr>
      <w:r>
        <w:rPr>
          <w:rFonts w:ascii="Arial" w:cs="Arial" w:eastAsia="Arial" w:hAnsi="Arial"/>
          <w:color w:val="1F2937"/>
          <w:sz w:val="22"/>
          <w:szCs w:val="22"/>
        </w:rPr>
        <w:t xml:space="preserve">This section sketches four reference architectures across MMXX Dynamics' named verticals. Each follows the same logical pattern: public-chain settlement, confidential execution, selective-disclosure identity, regulator-facing audit channel. The variations are in which primitive carries which load.</w:t>
      </w:r>
    </w:p>
    <w:p>
      <w:pPr>
        <w:pStyle w:val="Heading2"/>
        <w:spacing w:after="160" w:before="320"/>
      </w:pPr>
      <w:r>
        <w:rPr>
          <w:rFonts w:ascii="Arial" w:cs="Arial" w:eastAsia="Arial" w:hAnsi="Arial"/>
          <w:b/>
          <w:bCs/>
          <w:color w:val="2D4A9A"/>
          <w:sz w:val="28"/>
          <w:szCs w:val="28"/>
        </w:rPr>
        <w:t xml:space="preserve">6.1 Institutional finance, confidential RWA pools</w:t>
      </w:r>
    </w:p>
    <w:p>
      <w:pPr>
        <w:spacing w:after="160" w:line="320"/>
        <w:jc w:val="both"/>
      </w:pPr>
      <w:r>
        <w:rPr>
          <w:rFonts w:ascii="Arial" w:cs="Arial" w:eastAsia="Arial" w:hAnsi="Arial"/>
          <w:color w:val="1F2937"/>
          <w:sz w:val="22"/>
          <w:szCs w:val="22"/>
        </w:rPr>
        <w:t xml:space="preserve">A regulated tokenised-RWA pool serving qualified institutional buyers. Settlement happens on Ethereum or a Stage-1 L2 (Arbitrum, Base, OP). The pool's asset composition and individual buyer positions are confidential, exposed only to the issuer, the trustee, and the regulator. The architecture: positions held in Aztec or Zama-encrypted state for confidentiality; deposits and withdrawals routed through a Privacy Pool with KYC association sets so only verified-investor wallets can interact; identity verified via EUDI Wallet or W3C VC v2.0 credentials with ZK proofs of accreditation, citizenship and sanctions-clearance; institutional custody under MPC (Fireblocks or Copper); regulator-facing reporting via selective disclosure of per-investor positions to the relevant supervisor on demand. The result is a tokenised pool that meets MiCA and SEC reporting expectations while preserving competitive confidentiality.</w:t>
      </w:r>
    </w:p>
    <w:p>
      <w:pPr>
        <w:pStyle w:val="Heading2"/>
        <w:spacing w:after="160" w:before="320"/>
      </w:pPr>
      <w:r>
        <w:rPr>
          <w:rFonts w:ascii="Arial" w:cs="Arial" w:eastAsia="Arial" w:hAnsi="Arial"/>
          <w:b/>
          <w:bCs/>
          <w:color w:val="2D4A9A"/>
          <w:sz w:val="28"/>
          <w:szCs w:val="28"/>
        </w:rPr>
        <w:t xml:space="preserve">6.2 Regulated healthcare, patient-controlled health records</w:t>
      </w:r>
    </w:p>
    <w:p>
      <w:pPr>
        <w:spacing w:after="160" w:line="320"/>
        <w:jc w:val="both"/>
      </w:pPr>
      <w:r>
        <w:rPr>
          <w:rFonts w:ascii="Arial" w:cs="Arial" w:eastAsia="Arial" w:hAnsi="Arial"/>
          <w:color w:val="1F2937"/>
          <w:sz w:val="22"/>
          <w:szCs w:val="22"/>
        </w:rPr>
        <w:t xml:space="preserve">A national or regional health record where the patient holds the credential and providers verify it. The architecture: clinical records held off-chain in encrypted form (FHE for active records, TEE-protected storage for archive); access policies anchored on-chain via verifiable credentials (a hospital admits the patient by presenting a ZK proof that the patient consents to the visit); selective-disclosure VCs let the patient prove derived attributes (pregnant, diabetic, vaccinated) without exposing the full record; verifiable AI runs predictive models against encrypted inputs (FHE) or in TEE (Phala, Oasis Sapphire) so the model owner never sees raw patient data. The model is consistent with the EU's European Health Data Space regulation and the UK NHS England's federated data platform model.</w:t>
      </w:r>
    </w:p>
    <w:p>
      <w:pPr>
        <w:pStyle w:val="Heading2"/>
        <w:spacing w:after="160" w:before="320"/>
      </w:pPr>
      <w:r>
        <w:rPr>
          <w:rFonts w:ascii="Arial" w:cs="Arial" w:eastAsia="Arial" w:hAnsi="Arial"/>
          <w:b/>
          <w:bCs/>
          <w:color w:val="2D4A9A"/>
          <w:sz w:val="28"/>
          <w:szCs w:val="28"/>
        </w:rPr>
        <w:t xml:space="preserve">6.3 Public sector, confidential procurement and grant administration</w:t>
      </w:r>
    </w:p>
    <w:p>
      <w:pPr>
        <w:spacing w:after="160" w:line="320"/>
        <w:jc w:val="both"/>
      </w:pPr>
      <w:r>
        <w:rPr>
          <w:rFonts w:ascii="Arial" w:cs="Arial" w:eastAsia="Arial" w:hAnsi="Arial"/>
          <w:color w:val="1F2937"/>
          <w:sz w:val="22"/>
          <w:szCs w:val="22"/>
        </w:rPr>
        <w:t xml:space="preserve">Government procurement and grant systems combine three failure modes: opacity to the public (where transparency mandates apply), exposure of competitive bid information to rival contractors (where confidentiality is mandated), and inefficiency in cross-departmental verification. A confidential-Web3 architecture: public issuance of tenders and grants with cryptographic timestamps; bids submitted as Aztec or Zama-encrypted commitments; bid evaluation runs on encrypted inputs (FHE) or inside a TEE attested to multi-signatory governance; winner's bid revealed publicly post-award; losing bids remain confidential. Audit-trail visibility for the National Audit Office or equivalent via selective disclosure. EUDI Wallet identity attaches every bidder to a verified entity. The architecture has been piloted in several Nordic and Baltic governments and is consistent with the EU's eForms and Public Procurement Directive.</w:t>
      </w:r>
    </w:p>
    <w:p>
      <w:pPr>
        <w:pStyle w:val="Heading2"/>
        <w:spacing w:after="160" w:before="320"/>
      </w:pPr>
      <w:r>
        <w:rPr>
          <w:rFonts w:ascii="Arial" w:cs="Arial" w:eastAsia="Arial" w:hAnsi="Arial"/>
          <w:b/>
          <w:bCs/>
          <w:color w:val="2D4A9A"/>
          <w:sz w:val="28"/>
          <w:szCs w:val="28"/>
        </w:rPr>
        <w:t xml:space="preserve">6.4 Confidential supply chain</w:t>
      </w:r>
    </w:p>
    <w:p>
      <w:pPr>
        <w:spacing w:after="160" w:line="320"/>
        <w:jc w:val="both"/>
      </w:pPr>
      <w:r>
        <w:rPr>
          <w:rFonts w:ascii="Arial" w:cs="Arial" w:eastAsia="Arial" w:hAnsi="Arial"/>
          <w:color w:val="1F2937"/>
          <w:sz w:val="22"/>
          <w:szCs w:val="22"/>
        </w:rPr>
        <w:t xml:space="preserve">Multi-party supply chains generate reconciliation cost where every participant lacks trust in every other participant's records, but no participant wants to expose its commercial positions to competitors. A confidential-Web3 architecture: shared-ledger record of state transitions (purchase order, shipment, customs, delivery, payment) anchored on a public chain; the granular content (quantities, prices, parties, terms) encrypted via FHE or shielded via Aztec; selective disclosure to specific parties (tax authority sees the price; carrier sees the shipment; insurer sees the value). Walmart's IBM Food Trust and De Beers's Tracr have shown the value of shared-record provenance; the 2026 architecture preserves their auditability without exposing competitive data.</w:t>
      </w:r>
    </w:p>
    <w:p>
      <w:pPr>
        <w:spacing w:after="160" w:line="320"/>
        <w:jc w:val="both"/>
      </w:pPr>
      <w:r>
        <w:rPr>
          <w:rFonts w:ascii="Arial" w:cs="Arial" w:eastAsia="Arial" w:hAnsi="Arial"/>
          <w:color w:val="1F2937"/>
          <w:sz w:val="22"/>
          <w:szCs w:val="22"/>
        </w:rPr>
        <w:t xml:space="preserve">Across all four sectors the pattern is consistent. The blockchain provides the verifiable, multi-party record. The confidentiality layer makes the record commercially viable. The identity layer makes it regulator-credible. The integration layer, exactly where MMXX Dynamics' DaaS Core, DaaS Platform and SimpleContxt sit, is what turns three primitives into a working system.</w:t>
      </w:r>
    </w:p>
    <w:p>
      <w:pPr>
        <w:pStyle w:val="Heading1"/>
        <w:spacing w:after="240" w:before="480"/>
      </w:pPr>
      <w:r>
        <w:rPr>
          <w:rFonts w:ascii="Arial" w:cs="Arial" w:eastAsia="Arial" w:hAnsi="Arial"/>
          <w:b/>
          <w:bCs/>
          <w:color w:val="2D4A9A"/>
          <w:sz w:val="36"/>
          <w:szCs w:val="36"/>
        </w:rPr>
        <w:t xml:space="preserve">7. A Decision Framework for 2026</w:t>
      </w:r>
    </w:p>
    <w:p>
      <w:pPr>
        <w:spacing w:after="160" w:line="320"/>
        <w:jc w:val="both"/>
      </w:pPr>
      <w:r>
        <w:rPr>
          <w:rFonts w:ascii="Arial" w:cs="Arial" w:eastAsia="Arial" w:hAnsi="Arial"/>
          <w:color w:val="1F2937"/>
          <w:sz w:val="22"/>
          <w:szCs w:val="22"/>
        </w:rPr>
        <w:t xml:space="preserve">For an enterprise architect or buyer evaluating a confidential-Web3 deployment, the following six questions determine the right architecture. Every named platform has trade-offs; the goal is alignment between workload and primitive, not the selection of any single technology.</w:t>
      </w:r>
    </w:p>
    <w:p>
      <w:pPr>
        <w:pStyle w:val="Heading3"/>
        <w:spacing w:after="120" w:before="240"/>
      </w:pPr>
      <w:r>
        <w:rPr>
          <w:rFonts w:ascii="Arial" w:cs="Arial" w:eastAsia="Arial" w:hAnsi="Arial"/>
          <w:b/>
          <w:bCs/>
          <w:color w:val="1F2937"/>
          <w:sz w:val="24"/>
          <w:szCs w:val="24"/>
        </w:rPr>
        <w:t xml:space="preserve">Six questions to ask before designing the system</w:t>
      </w:r>
    </w:p>
    <w:p>
      <w:pPr>
        <w:pStyle w:val="ListParagraph"/>
        <w:numPr>
          <w:ilvl w:val="0"/>
          <w:numId w:val="2"/>
        </w:numPr>
        <w:spacing w:after="100" w:line="300"/>
      </w:pPr>
      <w:r>
        <w:rPr>
          <w:rFonts w:ascii="Arial" w:cs="Arial" w:eastAsia="Arial" w:hAnsi="Arial"/>
          <w:b/>
          <w:bCs/>
          <w:color w:val="1F2937"/>
          <w:sz w:val="22"/>
          <w:szCs w:val="22"/>
        </w:rPr>
        <w:t xml:space="preserve">1. Who must not see the data, ever: operator, hardware vendor, regulator, counterparty?</w:t>
      </w:r>
    </w:p>
    <w:p>
      <w:pPr>
        <w:spacing w:after="160" w:line="320"/>
        <w:jc w:val="both"/>
      </w:pPr>
      <w:r>
        <w:rPr>
          <w:rFonts w:ascii="Arial" w:cs="Arial" w:eastAsia="Arial" w:hAnsi="Arial"/>
          <w:color w:val="1F2937"/>
          <w:sz w:val="22"/>
          <w:szCs w:val="22"/>
        </w:rPr>
        <w:t xml:space="preserve">The answer determines the primitive. If even the operator must not see the data, the answer is FHE or MPC. If the operator can be trusted (subject to attestation), TEEs are the right performance choice. If only the counterparty must not see the data, ZKPs and shielded pools are sufficient.</w:t>
      </w:r>
    </w:p>
    <w:p>
      <w:pPr>
        <w:pStyle w:val="ListParagraph"/>
        <w:numPr>
          <w:ilvl w:val="0"/>
          <w:numId w:val="2"/>
        </w:numPr>
        <w:spacing w:after="100" w:line="300"/>
      </w:pPr>
      <w:r>
        <w:rPr>
          <w:rFonts w:ascii="Arial" w:cs="Arial" w:eastAsia="Arial" w:hAnsi="Arial"/>
          <w:b/>
          <w:bCs/>
          <w:color w:val="1F2937"/>
          <w:sz w:val="22"/>
          <w:szCs w:val="22"/>
        </w:rPr>
        <w:t xml:space="preserve">2. Who must be able to see the data, conditionally, and under what trigger?</w:t>
      </w:r>
    </w:p>
    <w:p>
      <w:pPr>
        <w:spacing w:after="160" w:line="320"/>
        <w:jc w:val="both"/>
      </w:pPr>
      <w:r>
        <w:rPr>
          <w:rFonts w:ascii="Arial" w:cs="Arial" w:eastAsia="Arial" w:hAnsi="Arial"/>
          <w:color w:val="1F2937"/>
          <w:sz w:val="22"/>
          <w:szCs w:val="22"/>
        </w:rPr>
        <w:t xml:space="preserve">Selective disclosure to regulators on subpoena, to auditors on schedule, to risk teams on alert, to counterparties on settlement. Each disclosure path needs a distinct viewing key, association set, or threshold-decryption committee. Designing the disclosure paths up front is the difference between an audited system and a non-compliant one.</w:t>
      </w:r>
    </w:p>
    <w:p>
      <w:pPr>
        <w:pStyle w:val="ListParagraph"/>
        <w:numPr>
          <w:ilvl w:val="0"/>
          <w:numId w:val="2"/>
        </w:numPr>
        <w:spacing w:after="100" w:line="300"/>
      </w:pPr>
      <w:r>
        <w:rPr>
          <w:rFonts w:ascii="Arial" w:cs="Arial" w:eastAsia="Arial" w:hAnsi="Arial"/>
          <w:b/>
          <w:bCs/>
          <w:color w:val="1F2937"/>
          <w:sz w:val="22"/>
          <w:szCs w:val="22"/>
        </w:rPr>
        <w:t xml:space="preserve">3. What is the latency budget?</w:t>
      </w:r>
    </w:p>
    <w:p>
      <w:pPr>
        <w:spacing w:after="160" w:line="320"/>
        <w:jc w:val="both"/>
      </w:pPr>
      <w:r>
        <w:rPr>
          <w:rFonts w:ascii="Arial" w:cs="Arial" w:eastAsia="Arial" w:hAnsi="Arial"/>
          <w:color w:val="1F2937"/>
          <w:sz w:val="22"/>
          <w:szCs w:val="22"/>
        </w:rPr>
        <w:t xml:space="preserve">FHE workloads currently tolerate seconds to minutes per operation; TEE workloads run at near-native speed; ZKP workloads have variable proving cost depending on circuit complexity. High-frequency execution (perpetuals, market-making, high-throughput payments) is incompatible with FHE in 2026. Slow-but-high-value workloads (settlement, governance, RWA accounting, batch reconciliation) are exactly where FHE shines.</w:t>
      </w:r>
    </w:p>
    <w:p>
      <w:pPr>
        <w:pStyle w:val="ListParagraph"/>
        <w:numPr>
          <w:ilvl w:val="0"/>
          <w:numId w:val="2"/>
        </w:numPr>
        <w:spacing w:after="100" w:line="300"/>
      </w:pPr>
      <w:r>
        <w:rPr>
          <w:rFonts w:ascii="Arial" w:cs="Arial" w:eastAsia="Arial" w:hAnsi="Arial"/>
          <w:b/>
          <w:bCs/>
          <w:color w:val="1F2937"/>
          <w:sz w:val="22"/>
          <w:szCs w:val="22"/>
        </w:rPr>
        <w:t xml:space="preserve">4. What is the regulatory perimeter?</w:t>
      </w:r>
    </w:p>
    <w:p>
      <w:pPr>
        <w:spacing w:after="160" w:line="320"/>
        <w:jc w:val="both"/>
      </w:pPr>
      <w:r>
        <w:rPr>
          <w:rFonts w:ascii="Arial" w:cs="Arial" w:eastAsia="Arial" w:hAnsi="Arial"/>
          <w:color w:val="1F2937"/>
          <w:sz w:val="22"/>
          <w:szCs w:val="22"/>
        </w:rPr>
        <w:t xml:space="preserve">MiCA's CASP regime, the GENIUS Act's payment stablecoin framework, the FCA's UK rules under FSMA 2023, MAS's regulated-DeFi pilots, and the EU's eIDAS 2.0 mandate. Each adds specific constraints: Travel Rule attestation, KYC association sets, EUDI Wallet acceptance, mandatory disclosures. The architecture must be designed against the perimeter; retrofitting is expensive.</w:t>
      </w:r>
    </w:p>
    <w:p>
      <w:pPr>
        <w:pStyle w:val="ListParagraph"/>
        <w:numPr>
          <w:ilvl w:val="0"/>
          <w:numId w:val="2"/>
        </w:numPr>
        <w:spacing w:after="100" w:line="300"/>
      </w:pPr>
      <w:r>
        <w:rPr>
          <w:rFonts w:ascii="Arial" w:cs="Arial" w:eastAsia="Arial" w:hAnsi="Arial"/>
          <w:b/>
          <w:bCs/>
          <w:color w:val="1F2937"/>
          <w:sz w:val="22"/>
          <w:szCs w:val="22"/>
        </w:rPr>
        <w:t xml:space="preserve">5. What is the trust model, and is the chip vendor in it?</w:t>
      </w:r>
    </w:p>
    <w:p>
      <w:pPr>
        <w:spacing w:after="160" w:line="320"/>
        <w:jc w:val="both"/>
      </w:pPr>
      <w:r>
        <w:rPr>
          <w:rFonts w:ascii="Arial" w:cs="Arial" w:eastAsia="Arial" w:hAnsi="Arial"/>
          <w:color w:val="1F2937"/>
          <w:sz w:val="22"/>
          <w:szCs w:val="22"/>
        </w:rPr>
        <w:t xml:space="preserve">If the answer to 'who do you trust' includes Intel, AMD or NVIDIA's attestation infrastructure, TEEs are open to you. If the answer must exclude hardware-vendor trust, the architecture is restricted to ZKP and FHE. The 2025 Battering Ram and Wiretap research has made this question newly important; serious institutional deployments now publish explicit threat models.</w:t>
      </w:r>
    </w:p>
    <w:p>
      <w:pPr>
        <w:pStyle w:val="ListParagraph"/>
        <w:numPr>
          <w:ilvl w:val="0"/>
          <w:numId w:val="2"/>
        </w:numPr>
        <w:spacing w:after="100" w:line="300"/>
      </w:pPr>
      <w:r>
        <w:rPr>
          <w:rFonts w:ascii="Arial" w:cs="Arial" w:eastAsia="Arial" w:hAnsi="Arial"/>
          <w:b/>
          <w:bCs/>
          <w:color w:val="1F2937"/>
          <w:sz w:val="22"/>
          <w:szCs w:val="22"/>
        </w:rPr>
        <w:t xml:space="preserve">6. What is the integration burden, and who bears it?</w:t>
      </w:r>
    </w:p>
    <w:p>
      <w:pPr>
        <w:spacing w:after="160" w:line="320"/>
        <w:jc w:val="both"/>
      </w:pPr>
      <w:r>
        <w:rPr>
          <w:rFonts w:ascii="Arial" w:cs="Arial" w:eastAsia="Arial" w:hAnsi="Arial"/>
          <w:color w:val="1F2937"/>
          <w:sz w:val="22"/>
          <w:szCs w:val="22"/>
        </w:rPr>
        <w:t xml:space="preserve">Confidential-Web3 deployments are systems-integration projects, not protocol selections. The hardest work is binding the confidentiality primitive to the existing IT estate (KYC vendor, custody, compliance, ERP, CRM) without breaking the audit trail. This is where most projects fail. It is also where data-platform partners, including MMXX Dynamics' product portfolio, most clearly add value, by treating confidential-Web3 as another data layer to be integrated rather than a parallel infrastructure to be operated.</w:t>
      </w:r>
    </w:p>
    <w:p>
      <w:pPr>
        <w:pBdr>
          <w:left w:val="single" w:color="35BEF0" w:sz="24" w:space="8"/>
        </w:pBdr>
        <w:shd w:fill="F1F5FF" w:val="clear"/>
        <w:spacing w:after="240" w:before="240" w:line="320"/>
        <w:ind w:left="360" w:right="240"/>
        <w:jc w:val="left"/>
      </w:pPr>
      <w:r>
        <w:rPr>
          <w:rFonts w:ascii="Arial" w:cs="Arial" w:eastAsia="Arial" w:hAnsi="Arial"/>
          <w:i/>
          <w:iCs/>
          <w:color w:val="1F2937"/>
          <w:sz w:val="22"/>
          <w:szCs w:val="22"/>
        </w:rPr>
        <w:t xml:space="preserve">If a vendor cannot answer all six questions in the first hour of an engagement, the project is not yet ready to enter procurement.</w:t>
      </w:r>
    </w:p>
    <w:p>
      <w:pPr>
        <w:pStyle w:val="Heading1"/>
        <w:spacing w:after="240" w:before="480"/>
      </w:pPr>
      <w:r>
        <w:rPr>
          <w:rFonts w:ascii="Arial" w:cs="Arial" w:eastAsia="Arial" w:hAnsi="Arial"/>
          <w:b/>
          <w:bCs/>
          <w:color w:val="2D4A9A"/>
          <w:sz w:val="36"/>
          <w:szCs w:val="36"/>
        </w:rPr>
        <w:t xml:space="preserve">Conclusion</w:t>
      </w:r>
    </w:p>
    <w:p>
      <w:pPr>
        <w:spacing w:after="160" w:line="320"/>
        <w:jc w:val="both"/>
      </w:pPr>
      <w:r>
        <w:rPr>
          <w:rFonts w:ascii="Arial" w:cs="Arial" w:eastAsia="Arial" w:hAnsi="Arial"/>
          <w:color w:val="1F2937"/>
          <w:sz w:val="22"/>
          <w:szCs w:val="22"/>
        </w:rPr>
        <w:t xml:space="preserve">Public blockchains and enterprise confidentiality are no longer in tension. The 2026 architecture is hybrid by construction: public settlement, confidential execution, selective regulator-facing disclosure, identity that proves attributes without exposing the underlying credential. The four primitives (ZKPs, FHE, TEEs, MPC) are now production-grade, with named platforms behind each, billions of dollars of TVL in flight, with explicit endorsement from the Ethereum Foundation and major regulators.</w:t>
      </w:r>
    </w:p>
    <w:p>
      <w:pPr>
        <w:spacing w:after="160" w:line="320"/>
        <w:jc w:val="both"/>
      </w:pPr>
      <w:r>
        <w:rPr>
          <w:rFonts w:ascii="Arial" w:cs="Arial" w:eastAsia="Arial" w:hAnsi="Arial"/>
          <w:color w:val="1F2937"/>
          <w:sz w:val="22"/>
          <w:szCs w:val="22"/>
        </w:rPr>
        <w:t xml:space="preserve">The institutions that win the 2026–2028 enterprise Web3 cycle will be those that have already chosen which primitive carries which workload, mapped their disclosure paths against MiCA, GENIUS, and eIDAS 2.0, and integrated confidential infrastructure into their existing IT estate. Those that do not will continue to choose between unworkable transparency on public chains and unworkable isolation on permissioned chains. There is now a third option, and the architecture for it is described in this paper.</w:t>
      </w:r>
    </w:p>
    <w:p>
      <w:pPr>
        <w:spacing w:after="160" w:line="320"/>
        <w:jc w:val="both"/>
      </w:pPr>
      <w:r>
        <w:rPr>
          <w:rFonts w:ascii="Arial" w:cs="Arial" w:eastAsia="Arial" w:hAnsi="Arial"/>
          <w:color w:val="1F2937"/>
          <w:sz w:val="22"/>
          <w:szCs w:val="22"/>
        </w:rPr>
        <w:t xml:space="preserve">MMXX Dynamics works with regulated counterparties across finance, public sector, energy, and decentralised applications to design and deploy confidential-Web3 architectures of the kind described above. We are happy to engage on specific procurement questions, reference designs, or pilot scoping. Contact details are at mmxxdynamics.com.</w:t>
      </w:r>
    </w:p>
    <w:p>
      <w:r>
        <w:br w:type="page"/>
      </w:r>
    </w:p>
    <w:p>
      <w:pPr>
        <w:pStyle w:val="Heading1"/>
        <w:spacing w:after="240" w:before="480"/>
      </w:pPr>
      <w:r>
        <w:rPr>
          <w:rFonts w:ascii="Arial" w:cs="Arial" w:eastAsia="Arial" w:hAnsi="Arial"/>
          <w:b/>
          <w:bCs/>
          <w:color w:val="2D4A9A"/>
          <w:sz w:val="36"/>
          <w:szCs w:val="36"/>
        </w:rPr>
        <w:t xml:space="preserve">Selected references</w:t>
      </w:r>
    </w:p>
    <w:p>
      <w:pPr>
        <w:spacing w:after="160" w:line="320"/>
        <w:jc w:val="both"/>
      </w:pPr>
      <w:r>
        <w:rPr>
          <w:rFonts w:ascii="Arial" w:cs="Arial" w:eastAsia="Arial" w:hAnsi="Arial"/>
          <w:color w:val="1F2937"/>
          <w:sz w:val="22"/>
          <w:szCs w:val="22"/>
        </w:rPr>
        <w:t xml:space="preserve">Aztec Network, Road to Mainnet (2025–2026); Aztec mainnet launch, 20 November 2025; Aztec TGE, 12 February 2026.</w:t>
      </w:r>
    </w:p>
    <w:p>
      <w:pPr>
        <w:spacing w:after="160" w:line="320"/>
        <w:jc w:val="both"/>
      </w:pPr>
      <w:r>
        <w:rPr>
          <w:rFonts w:ascii="Arial" w:cs="Arial" w:eastAsia="Arial" w:hAnsi="Arial"/>
          <w:color w:val="1F2937"/>
          <w:sz w:val="22"/>
          <w:szCs w:val="22"/>
        </w:rPr>
        <w:t xml:space="preserve">Buterin, V., Illum, J. et al., 'Blockchain Privacy and Regulatory Compliance: Towards a Practical Equilibrium' (Privacy Pools), SSRN 4563364, 2023.</w:t>
      </w:r>
    </w:p>
    <w:p>
      <w:pPr>
        <w:spacing w:after="160" w:line="320"/>
        <w:jc w:val="both"/>
      </w:pPr>
      <w:r>
        <w:rPr>
          <w:rFonts w:ascii="Arial" w:cs="Arial" w:eastAsia="Arial" w:hAnsi="Arial"/>
          <w:color w:val="1F2937"/>
          <w:sz w:val="22"/>
          <w:szCs w:val="22"/>
        </w:rPr>
        <w:t xml:space="preserve">Buterin, V., Kohaku privacy framework demonstration, Devcon 2025; Ethereum Foundation Kohaku Github, 2025–2026.</w:t>
      </w:r>
    </w:p>
    <w:p>
      <w:pPr>
        <w:spacing w:after="160" w:line="320"/>
        <w:jc w:val="both"/>
      </w:pPr>
      <w:r>
        <w:rPr>
          <w:rFonts w:ascii="Arial" w:cs="Arial" w:eastAsia="Arial" w:hAnsi="Arial"/>
          <w:color w:val="1F2937"/>
          <w:sz w:val="22"/>
          <w:szCs w:val="22"/>
        </w:rPr>
        <w:t xml:space="preserve">Coinbase, State of Crypto 2025; Fortune 500 enterprise blockchain adoption survey.</w:t>
      </w:r>
    </w:p>
    <w:p>
      <w:pPr>
        <w:spacing w:after="160" w:line="320"/>
        <w:jc w:val="both"/>
      </w:pPr>
      <w:r>
        <w:rPr>
          <w:rFonts w:ascii="Arial" w:cs="Arial" w:eastAsia="Arial" w:hAnsi="Arial"/>
          <w:color w:val="1F2937"/>
          <w:sz w:val="22"/>
          <w:szCs w:val="22"/>
        </w:rPr>
        <w:t xml:space="preserve">EigenAI Whitepaper: Deterministic Inference, Verifiable Results, EigenLabs, 2026.</w:t>
      </w:r>
    </w:p>
    <w:p>
      <w:pPr>
        <w:spacing w:after="160" w:line="320"/>
        <w:jc w:val="both"/>
      </w:pPr>
      <w:r>
        <w:rPr>
          <w:rFonts w:ascii="Arial" w:cs="Arial" w:eastAsia="Arial" w:hAnsi="Arial"/>
          <w:color w:val="1F2937"/>
          <w:sz w:val="22"/>
          <w:szCs w:val="22"/>
        </w:rPr>
        <w:t xml:space="preserve">EU Regulation 2024/1183 (eIDAS 2.0), 11 April 2024; in force 20 May 2024; EUDI Wallet mandate, 31 December 2026.</w:t>
      </w:r>
    </w:p>
    <w:p>
      <w:pPr>
        <w:spacing w:after="160" w:line="320"/>
        <w:jc w:val="both"/>
      </w:pPr>
      <w:r>
        <w:rPr>
          <w:rFonts w:ascii="Arial" w:cs="Arial" w:eastAsia="Arial" w:hAnsi="Arial"/>
          <w:color w:val="1F2937"/>
          <w:sz w:val="22"/>
          <w:szCs w:val="22"/>
        </w:rPr>
        <w:t xml:space="preserve">FATF, Recommendation 16 update on Travel Rule for Virtual Asset Service Providers, June 2025.</w:t>
      </w:r>
    </w:p>
    <w:p>
      <w:pPr>
        <w:spacing w:after="160" w:line="320"/>
        <w:jc w:val="both"/>
      </w:pPr>
      <w:r>
        <w:rPr>
          <w:rFonts w:ascii="Arial" w:cs="Arial" w:eastAsia="Arial" w:hAnsi="Arial"/>
          <w:color w:val="1F2937"/>
          <w:sz w:val="22"/>
          <w:szCs w:val="22"/>
        </w:rPr>
        <w:t xml:space="preserve">Hypernative, Top 100 DeFi Hacks 2025; Balancer V2 Composable Stable Pools exploit detection, 3 November 2025.</w:t>
      </w:r>
    </w:p>
    <w:p>
      <w:pPr>
        <w:spacing w:after="160" w:line="320"/>
        <w:jc w:val="both"/>
      </w:pPr>
      <w:r>
        <w:rPr>
          <w:rFonts w:ascii="Arial" w:cs="Arial" w:eastAsia="Arial" w:hAnsi="Arial"/>
          <w:color w:val="1F2937"/>
          <w:sz w:val="22"/>
          <w:szCs w:val="22"/>
        </w:rPr>
        <w:t xml:space="preserve">ICME, The Definitive Guide to ZKML, January 2026; Modulus Labs, EZKL, RISC Zero, Lagrange DeepProve.</w:t>
      </w:r>
    </w:p>
    <w:p>
      <w:pPr>
        <w:spacing w:after="160" w:line="320"/>
        <w:jc w:val="both"/>
      </w:pPr>
      <w:r>
        <w:rPr>
          <w:rFonts w:ascii="Arial" w:cs="Arial" w:eastAsia="Arial" w:hAnsi="Arial"/>
          <w:color w:val="1F2937"/>
          <w:sz w:val="22"/>
          <w:szCs w:val="22"/>
        </w:rPr>
        <w:t xml:space="preserve">Inference Labs, Zero Knowledge Verified Inference Network (Omron subnet, Bittensor), 2025.</w:t>
      </w:r>
    </w:p>
    <w:p>
      <w:pPr>
        <w:spacing w:after="160" w:line="320"/>
        <w:jc w:val="both"/>
      </w:pPr>
      <w:r>
        <w:rPr>
          <w:rFonts w:ascii="Arial" w:cs="Arial" w:eastAsia="Arial" w:hAnsi="Arial"/>
          <w:color w:val="1F2937"/>
          <w:sz w:val="22"/>
          <w:szCs w:val="22"/>
        </w:rPr>
        <w:t xml:space="preserve">Phala Network, Migration to Ethereum L2, 20 November 2025; dstack open-source SDK with NEAR AI.</w:t>
      </w:r>
    </w:p>
    <w:p>
      <w:pPr>
        <w:spacing w:after="160" w:line="320"/>
        <w:jc w:val="both"/>
      </w:pPr>
      <w:r>
        <w:rPr>
          <w:rFonts w:ascii="Arial" w:cs="Arial" w:eastAsia="Arial" w:hAnsi="Arial"/>
          <w:color w:val="1F2937"/>
          <w:sz w:val="22"/>
          <w:szCs w:val="22"/>
        </w:rPr>
        <w:t xml:space="preserve">Railgun, Private Proofs of Innocence; zkLend exploit defence, 12 February 2025.</w:t>
      </w:r>
    </w:p>
    <w:p>
      <w:pPr>
        <w:spacing w:after="160" w:line="320"/>
        <w:jc w:val="both"/>
      </w:pPr>
      <w:r>
        <w:rPr>
          <w:rFonts w:ascii="Arial" w:cs="Arial" w:eastAsia="Arial" w:hAnsi="Arial"/>
          <w:color w:val="1F2937"/>
          <w:sz w:val="22"/>
          <w:szCs w:val="22"/>
        </w:rPr>
        <w:t xml:space="preserve">Tokamak Network, zk-X509: Privacy-Preserving On-Chain Identity from Legacy PKI, arXiv preprint, 31 March 2026.</w:t>
      </w:r>
    </w:p>
    <w:p>
      <w:pPr>
        <w:spacing w:after="160" w:line="320"/>
        <w:jc w:val="both"/>
      </w:pPr>
      <w:r>
        <w:rPr>
          <w:rFonts w:ascii="Arial" w:cs="Arial" w:eastAsia="Arial" w:hAnsi="Arial"/>
          <w:color w:val="1F2937"/>
          <w:sz w:val="22"/>
          <w:szCs w:val="22"/>
        </w:rPr>
        <w:t xml:space="preserve">W3C, Verifiable Credentials Data Model v2.0, 2025; SD-JWT specification; ISO/IEC 18013-5.</w:t>
      </w:r>
    </w:p>
    <w:p>
      <w:pPr>
        <w:spacing w:after="160" w:line="320"/>
        <w:jc w:val="both"/>
      </w:pPr>
      <w:r>
        <w:rPr>
          <w:rFonts w:ascii="Arial" w:cs="Arial" w:eastAsia="Arial" w:hAnsi="Arial"/>
          <w:color w:val="1F2937"/>
          <w:sz w:val="22"/>
          <w:szCs w:val="22"/>
        </w:rPr>
        <w:t xml:space="preserve">Zama, Confidential Blockchain Protocol mainnet on Ethereum, December 2025; $ZAMA token auction, 12 January 2026; fhEVM Solidity library.</w:t>
      </w:r>
    </w:p>
    <w:p>
      <w:pPr>
        <w:spacing w:after="120"/>
      </w:pPr>
      <w:r>
        <w:t xml:space="preserve"/>
      </w:r>
    </w:p>
    <w:p>
      <w:pPr>
        <w:spacing w:after="160" w:line="320"/>
        <w:jc w:val="both"/>
      </w:pPr>
      <w:r>
        <w:rPr>
          <w:rFonts w:ascii="Arial" w:cs="Arial" w:eastAsia="Arial" w:hAnsi="Arial"/>
          <w:i/>
          <w:iCs/>
          <w:color w:val="6B7280"/>
          <w:sz w:val="22"/>
          <w:szCs w:val="22"/>
        </w:rPr>
        <w:t xml:space="preserve">This paper reflects publicly available information and MMXX Dynamics' own engagements as of May 2026. References to commercial platforms are illustrative; inclusion or exclusion does not constitute an endorsement.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Arial" w:cs="Arial" w:eastAsia="Arial" w:hAnsi="Arial"/>
        <w:color w:val="6B7280"/>
        <w:sz w:val="18"/>
        <w:szCs w:val="18"/>
      </w:rPr>
      <w:t xml:space="preserve">Page </w:t>
    </w:r>
    <w:r>
      <w:rPr>
        <w:rFonts w:ascii="Arial" w:cs="Arial" w:eastAsia="Arial" w:hAnsi="Arial"/>
        <w:color w:val="6B7280"/>
        <w:sz w:val="18"/>
        <w:szCs w:val="18"/>
      </w:rPr>
      <w:fldChar w:fldCharType="begin"/>
      <w:instrText xml:space="preserve">PAGE</w:instrText>
      <w:fldChar w:fldCharType="separate"/>
      <w:fldChar w:fldCharType="end"/>
    </w:r>
    <w:r>
      <w:rPr>
        <w:rFonts w:ascii="Arial" w:cs="Arial" w:eastAsia="Arial" w:hAnsi="Arial"/>
        <w:color w:val="6B7280"/>
        <w:sz w:val="18"/>
        <w:szCs w:val="18"/>
      </w:rPr>
      <w:t xml:space="preserve"> · MMXX Dynamics, May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B7280"/>
        <w:sz w:val="18"/>
        <w:szCs w:val="18"/>
      </w:rPr>
      <w:t xml:space="preserve">MMXX Dynamics  ·  Confidential Web3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2D4A9A"/>
      <w:sz w:val="36"/>
      <w:szCs w:val="36"/>
    </w:rPr>
  </w:style>
  <w:style w:type="paragraph" w:styleId="Heading2">
    <w:name w:val="Heading 2"/>
    <w:basedOn w:val="Normal"/>
    <w:next w:val="Normal"/>
    <w:qFormat/>
    <w:pPr>
      <w:spacing w:after="160" w:before="320"/>
      <w:outlineLvl w:val="1"/>
    </w:pPr>
    <w:rPr>
      <w:rFonts w:ascii="Arial" w:cs="Arial" w:eastAsia="Arial" w:hAnsi="Arial"/>
      <w:b/>
      <w:bCs/>
      <w:color w:val="2D4A9A"/>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1F293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Web3: Privacy-Preserving Architectures for Regulated Enterprise Blockchain</dc:title>
  <dc:creator>MMXX Dynamics</dc:creator>
  <dc:description>MMXX Dynamics White Paper, May 2026</dc:description>
  <cp:lastModifiedBy>Un-named</cp:lastModifiedBy>
  <cp:revision>1</cp:revision>
  <dcterms:created xsi:type="dcterms:W3CDTF">2026-05-06T10:08:52.055Z</dcterms:created>
  <dcterms:modified xsi:type="dcterms:W3CDTF">2026-05-06T10:08:52.072Z</dcterms:modified>
</cp:coreProperties>
</file>

<file path=docProps/custom.xml><?xml version="1.0" encoding="utf-8"?>
<Properties xmlns="http://schemas.openxmlformats.org/officeDocument/2006/custom-properties" xmlns:vt="http://schemas.openxmlformats.org/officeDocument/2006/docPropsVTypes"/>
</file>